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781" w:beforeLines="250" w:line="1000" w:lineRule="exact"/>
        <w:jc w:val="center"/>
        <w:textAlignment w:val="auto"/>
        <w:rPr>
          <w:rFonts w:hint="eastAsia" w:ascii="方正小标宋简体" w:eastAsia="方正小标宋简体"/>
          <w:color w:val="FF0000"/>
          <w:w w:val="85"/>
          <w:sz w:val="84"/>
          <w:szCs w:val="84"/>
        </w:rPr>
      </w:pPr>
      <w:r>
        <w:rPr>
          <w:rFonts w:hint="eastAsia" w:ascii="方正小标宋简体" w:eastAsia="方正小标宋简体"/>
          <w:color w:val="FF0000"/>
          <w:w w:val="85"/>
          <w:sz w:val="84"/>
          <w:szCs w:val="84"/>
        </w:rPr>
        <w:t>中国矿业大学国家煤加工与</w:t>
      </w:r>
    </w:p>
    <w:p>
      <w:pPr>
        <w:spacing w:line="1000" w:lineRule="exact"/>
        <w:jc w:val="center"/>
        <w:rPr>
          <w:rFonts w:hint="eastAsia" w:ascii="方正小标宋简体" w:eastAsia="方正小标宋简体"/>
          <w:color w:val="FF0000"/>
          <w:w w:val="78"/>
          <w:sz w:val="84"/>
          <w:szCs w:val="84"/>
        </w:rPr>
      </w:pPr>
      <w:r>
        <w:rPr>
          <w:rFonts w:hint="eastAsia" w:ascii="方正小标宋简体" w:eastAsia="方正小标宋简体"/>
          <w:color w:val="FF0000"/>
          <w:w w:val="78"/>
          <w:sz w:val="84"/>
          <w:szCs w:val="84"/>
        </w:rPr>
        <w:t>洁净化工程技术研究中心文件</w:t>
      </w:r>
    </w:p>
    <w:p>
      <w:pPr>
        <w:spacing w:line="580" w:lineRule="exact"/>
        <w:jc w:val="center"/>
        <w:rPr>
          <w:rFonts w:hint="eastAsia" w:ascii="方正小标宋简体" w:eastAsia="方正小标宋简体"/>
          <w:w w:val="80"/>
          <w:sz w:val="72"/>
          <w:szCs w:val="72"/>
        </w:rPr>
      </w:pPr>
    </w:p>
    <w:p>
      <w:pPr>
        <w:jc w:val="center"/>
        <w:rPr>
          <w:rFonts w:hint="eastAsia" w:ascii="仿宋_GB2312" w:eastAsia="仿宋_GB2312"/>
          <w:w w:val="80"/>
          <w:sz w:val="32"/>
          <w:szCs w:val="32"/>
        </w:rPr>
      </w:pPr>
      <w:bookmarkStart w:id="0" w:name="文件编号"/>
      <w:r>
        <w:rPr>
          <w:rFonts w:hint="eastAsia" w:ascii="仿宋_GB2312" w:hAnsi="华文仿宋" w:eastAsia="仿宋_GB2312"/>
          <w:sz w:val="32"/>
          <w:szCs w:val="32"/>
        </w:rPr>
        <w:t>煤加工中心</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bookmarkEnd w:id="0"/>
      <w:r>
        <w:rPr>
          <w:rFonts w:hint="eastAsia" w:ascii="仿宋_GB2312" w:hAnsi="仿宋" w:eastAsia="仿宋_GB2312"/>
          <w:sz w:val="32"/>
          <w:szCs w:val="32"/>
          <w:lang w:val="en-US" w:eastAsia="zh-CN"/>
        </w:rPr>
        <w:t>3</w:t>
      </w:r>
      <w:r>
        <w:rPr>
          <w:rFonts w:hint="eastAsia" w:ascii="仿宋_GB2312" w:hAnsi="仿宋" w:eastAsia="仿宋_GB2312"/>
          <w:sz w:val="32"/>
          <w:szCs w:val="32"/>
        </w:rPr>
        <w:t>号</w: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403860</wp:posOffset>
                </wp:positionV>
                <wp:extent cx="5715000" cy="1524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15000" cy="15240"/>
                        </a:xfrm>
                        <a:prstGeom prst="line">
                          <a:avLst/>
                        </a:prstGeom>
                        <a:ln w="2794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1.8pt;height:1.2pt;width:450pt;z-index:251659264;mso-width-relative:page;mso-height-relative:page;" filled="f" stroked="t" coordsize="21600,21600" o:gfxdata="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nskPVAAAABgEAAA8AAAAAAAAAAQAgAAAAIgAAAGRycy9kb3ducmV2&#10;LnhtbFBLAQIUABQAAAAIAIdO4kCxv795/wEAAPMDAAAOAAAAAAAAAAEAIAAAACQBAABkcnMvZTJv&#10;RG9jLnhtbFBLBQYAAAAABgAGAFkBAACVBQAAAAA=&#10;">
                <v:fill on="f" focussize="0,0"/>
                <v:stroke weight="2.2pt" color="#FF0000" joinstyle="round"/>
                <v:imagedata o:title=""/>
                <o:lock v:ext="edit" aspectratio="f"/>
              </v:line>
            </w:pict>
          </mc:Fallback>
        </mc:AlternateContent>
      </w:r>
    </w:p>
    <w:p>
      <w:pPr>
        <w:widowControl/>
        <w:spacing w:line="560" w:lineRule="exact"/>
        <w:jc w:val="both"/>
        <w:rPr>
          <w:rFonts w:hint="eastAsia" w:ascii="方正小标宋简体" w:hAnsi="宋体"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Times New Roman"/>
          <w:spacing w:val="-24"/>
          <w:sz w:val="44"/>
          <w:szCs w:val="36"/>
          <w:lang w:val="en-US" w:eastAsia="zh-CN"/>
        </w:rPr>
      </w:pPr>
      <w:r>
        <w:rPr>
          <w:rFonts w:hint="eastAsia" w:ascii="黑体" w:hAnsi="黑体" w:eastAsia="黑体" w:cs="Times New Roman"/>
          <w:spacing w:val="-24"/>
          <w:sz w:val="44"/>
          <w:szCs w:val="36"/>
          <w:lang w:val="en-US" w:eastAsia="zh-CN"/>
        </w:rPr>
        <w:t>国家煤加工与洁净化工程技术研究中心</w:t>
      </w:r>
    </w:p>
    <w:p>
      <w:pPr>
        <w:widowControl/>
        <w:spacing w:line="560" w:lineRule="exact"/>
        <w:jc w:val="center"/>
        <w:rPr>
          <w:rFonts w:hint="eastAsia" w:ascii="方正小标宋简体" w:hAnsi="宋体" w:eastAsia="方正小标宋简体" w:cs="Times New Roman"/>
          <w:sz w:val="44"/>
          <w:szCs w:val="44"/>
        </w:rPr>
      </w:pPr>
      <w:r>
        <w:rPr>
          <w:rFonts w:hint="eastAsia" w:ascii="黑体" w:hAnsi="黑体" w:eastAsia="黑体" w:cs="Times New Roman"/>
          <w:spacing w:val="-24"/>
          <w:sz w:val="44"/>
          <w:szCs w:val="36"/>
          <w:lang w:val="en-US" w:eastAsia="zh-CN"/>
        </w:rPr>
        <w:t>实验室安全违规扣分实施细则（试行）</w:t>
      </w:r>
    </w:p>
    <w:p>
      <w:pPr>
        <w:spacing w:before="312" w:beforeLines="100"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第一条</w:t>
      </w:r>
      <w:r>
        <w:rPr>
          <w:rFonts w:ascii="仿宋_GB2312" w:hAnsi="Times New Roman" w:eastAsia="仿宋_GB2312"/>
          <w:sz w:val="32"/>
          <w:szCs w:val="32"/>
        </w:rPr>
        <w:t xml:space="preserve">  </w:t>
      </w:r>
      <w:r>
        <w:rPr>
          <w:rFonts w:hint="eastAsia" w:ascii="仿宋_GB2312" w:hAnsi="Times New Roman" w:eastAsia="仿宋_GB2312"/>
          <w:sz w:val="32"/>
          <w:szCs w:val="32"/>
        </w:rPr>
        <w:t>为加强</w:t>
      </w:r>
      <w:r>
        <w:rPr>
          <w:rFonts w:hint="eastAsia" w:ascii="仿宋_GB2312" w:hAnsi="Times New Roman" w:eastAsia="仿宋_GB2312"/>
          <w:sz w:val="32"/>
          <w:szCs w:val="32"/>
          <w:lang w:val="en-US" w:eastAsia="zh-CN"/>
        </w:rPr>
        <w:t>中心</w:t>
      </w:r>
      <w:r>
        <w:rPr>
          <w:rFonts w:hint="eastAsia" w:ascii="仿宋_GB2312" w:hAnsi="Times New Roman" w:eastAsia="仿宋_GB2312"/>
          <w:sz w:val="32"/>
          <w:szCs w:val="32"/>
        </w:rPr>
        <w:t>实验室安全管理，促进安全检查整改有效落实，预防和减少实验室安全事故发生，保障校园安全稳定和师生生命安全，结合中心实际，特制定本细则。</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第二条</w:t>
      </w:r>
      <w:r>
        <w:rPr>
          <w:rFonts w:ascii="仿宋_GB2312" w:hAnsi="Times New Roman" w:eastAsia="仿宋_GB2312"/>
          <w:sz w:val="32"/>
          <w:szCs w:val="32"/>
        </w:rPr>
        <w:t xml:space="preserve">  </w:t>
      </w:r>
      <w:r>
        <w:rPr>
          <w:rFonts w:hint="eastAsia" w:ascii="仿宋_GB2312" w:hAnsi="Times New Roman" w:eastAsia="仿宋_GB2312"/>
          <w:sz w:val="32"/>
          <w:szCs w:val="32"/>
        </w:rPr>
        <w:t>本细则适用于中心管辖范围内的所有实验室。</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 xml:space="preserve">第三条 </w:t>
      </w:r>
      <w:r>
        <w:rPr>
          <w:rFonts w:ascii="仿宋_GB2312" w:hAnsi="Times New Roman" w:eastAsia="仿宋_GB2312"/>
          <w:b/>
          <w:sz w:val="32"/>
          <w:szCs w:val="32"/>
        </w:rPr>
        <w:t xml:space="preserve"> </w:t>
      </w:r>
      <w:r>
        <w:rPr>
          <w:rFonts w:hint="eastAsia" w:ascii="仿宋_GB2312" w:hAnsi="Times New Roman" w:eastAsia="仿宋_GB2312"/>
          <w:bCs/>
          <w:sz w:val="32"/>
          <w:szCs w:val="32"/>
        </w:rPr>
        <w:t>本细则适用于</w:t>
      </w:r>
      <w:r>
        <w:rPr>
          <w:rFonts w:hint="eastAsia" w:ascii="仿宋_GB2312" w:hAnsi="Times New Roman" w:eastAsia="仿宋_GB2312"/>
          <w:bCs/>
          <w:sz w:val="32"/>
          <w:szCs w:val="32"/>
          <w:lang w:val="en-US" w:eastAsia="zh-CN"/>
        </w:rPr>
        <w:t>各级的</w:t>
      </w:r>
      <w:r>
        <w:rPr>
          <w:rFonts w:hint="eastAsia" w:ascii="仿宋_GB2312" w:hAnsi="Times New Roman" w:eastAsia="仿宋_GB2312"/>
          <w:bCs/>
          <w:sz w:val="32"/>
          <w:szCs w:val="32"/>
        </w:rPr>
        <w:t>实验室安全检查，检查形式包括日常检查、督导督查、专项检查、整改复查等。</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第四条</w:t>
      </w:r>
      <w:r>
        <w:rPr>
          <w:rFonts w:ascii="仿宋_GB2312" w:hAnsi="Times New Roman" w:eastAsia="仿宋_GB2312"/>
          <w:sz w:val="32"/>
          <w:szCs w:val="32"/>
        </w:rPr>
        <w:t xml:space="preserve">  </w:t>
      </w:r>
      <w:r>
        <w:rPr>
          <w:rFonts w:hint="eastAsia" w:ascii="仿宋_GB2312" w:hAnsi="Times New Roman" w:eastAsia="仿宋_GB2312"/>
          <w:sz w:val="32"/>
          <w:szCs w:val="32"/>
        </w:rPr>
        <w:t>实验室安全检查实施“违规项目扣分”制度。</w:t>
      </w:r>
      <w:r>
        <w:rPr>
          <w:rFonts w:hint="eastAsia" w:ascii="仿宋_GB2312" w:hAnsi="Times New Roman" w:eastAsia="仿宋_GB2312"/>
          <w:sz w:val="32"/>
          <w:szCs w:val="32"/>
          <w:lang w:val="en-US" w:eastAsia="zh-CN"/>
        </w:rPr>
        <w:t>中心</w:t>
      </w:r>
      <w:r>
        <w:rPr>
          <w:rFonts w:hint="eastAsia" w:ascii="仿宋_GB2312" w:hAnsi="Times New Roman" w:eastAsia="仿宋_GB2312"/>
          <w:sz w:val="32"/>
          <w:szCs w:val="32"/>
        </w:rPr>
        <w:t>根据《高等学校实验室安全检查项目表》基本要求，结合</w:t>
      </w:r>
      <w:r>
        <w:rPr>
          <w:rFonts w:hint="eastAsia" w:ascii="仿宋_GB2312" w:hAnsi="Times New Roman" w:eastAsia="仿宋_GB2312"/>
          <w:sz w:val="32"/>
          <w:szCs w:val="32"/>
          <w:lang w:val="en-US" w:eastAsia="zh-CN"/>
        </w:rPr>
        <w:t>中心实验室</w:t>
      </w:r>
      <w:r>
        <w:rPr>
          <w:rFonts w:hint="eastAsia" w:ascii="仿宋_GB2312" w:hAnsi="Times New Roman" w:eastAsia="仿宋_GB2312"/>
          <w:sz w:val="32"/>
          <w:szCs w:val="32"/>
        </w:rPr>
        <w:t>安全检查实际，制定《</w:t>
      </w:r>
      <w:r>
        <w:rPr>
          <w:rFonts w:hint="eastAsia" w:ascii="仿宋_GB2312" w:hAnsi="仿宋" w:eastAsia="仿宋_GB2312" w:cs="宋体"/>
          <w:kern w:val="0"/>
          <w:sz w:val="32"/>
          <w:szCs w:val="32"/>
        </w:rPr>
        <w:t>煤加工中心实验室安全检查违规项目扣分表</w:t>
      </w:r>
      <w:r>
        <w:rPr>
          <w:rFonts w:hint="eastAsia" w:ascii="仿宋_GB2312" w:hAnsi="Times New Roman" w:eastAsia="仿宋_GB2312"/>
          <w:sz w:val="32"/>
          <w:szCs w:val="32"/>
        </w:rPr>
        <w:t>》（以下简称“扣分表”，见附件）。实验室安全检查时，依据《扣分表》对</w:t>
      </w:r>
      <w:r>
        <w:rPr>
          <w:rFonts w:hint="eastAsia" w:ascii="仿宋_GB2312" w:hAnsi="Times New Roman" w:eastAsia="仿宋_GB2312"/>
          <w:sz w:val="32"/>
          <w:szCs w:val="32"/>
          <w:lang w:val="en-US" w:eastAsia="zh-CN"/>
        </w:rPr>
        <w:t>违规研究生</w:t>
      </w:r>
      <w:r>
        <w:rPr>
          <w:rFonts w:hint="eastAsia" w:ascii="仿宋_GB2312" w:hAnsi="Times New Roman" w:eastAsia="仿宋_GB2312"/>
          <w:sz w:val="32"/>
          <w:szCs w:val="32"/>
        </w:rPr>
        <w:t>进行扣分。</w:t>
      </w:r>
    </w:p>
    <w:p>
      <w:pPr>
        <w:spacing w:line="560" w:lineRule="exact"/>
        <w:ind w:firstLine="643" w:firstLineChars="200"/>
        <w:rPr>
          <w:rFonts w:hint="default" w:ascii="仿宋_GB2312" w:hAnsi="Times New Roman" w:eastAsia="仿宋_GB2312"/>
          <w:bCs/>
          <w:sz w:val="32"/>
          <w:szCs w:val="32"/>
          <w:lang w:val="en-US" w:eastAsia="zh-CN"/>
        </w:rPr>
      </w:pPr>
      <w:r>
        <w:rPr>
          <w:rFonts w:hint="eastAsia" w:ascii="仿宋_GB2312" w:hAnsi="Times New Roman" w:eastAsia="仿宋_GB2312"/>
          <w:b/>
          <w:bCs/>
          <w:sz w:val="32"/>
          <w:szCs w:val="32"/>
        </w:rPr>
        <w:t>第五条</w:t>
      </w:r>
      <w:r>
        <w:rPr>
          <w:rFonts w:hint="eastAsia" w:ascii="仿宋_GB2312" w:hAnsi="Times New Roman" w:eastAsia="仿宋_GB2312"/>
          <w:bCs/>
          <w:sz w:val="32"/>
          <w:szCs w:val="32"/>
        </w:rPr>
        <w:t xml:space="preserve">  </w:t>
      </w:r>
      <w:r>
        <w:rPr>
          <w:rFonts w:hint="eastAsia" w:ascii="仿宋_GB2312" w:hAnsi="Times New Roman" w:eastAsia="仿宋_GB2312"/>
          <w:bCs/>
          <w:sz w:val="32"/>
          <w:szCs w:val="32"/>
          <w:lang w:val="en-US" w:eastAsia="zh-CN"/>
        </w:rPr>
        <w:t>扣分处罚</w:t>
      </w:r>
    </w:p>
    <w:p>
      <w:pPr>
        <w:spacing w:line="56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bCs/>
          <w:sz w:val="32"/>
          <w:szCs w:val="32"/>
          <w:lang w:val="en-US" w:eastAsia="zh-CN"/>
        </w:rPr>
        <w:t>1.</w:t>
      </w:r>
      <w:r>
        <w:rPr>
          <w:rFonts w:hint="eastAsia" w:ascii="仿宋_GB2312" w:hAnsi="Times New Roman" w:eastAsia="仿宋_GB2312"/>
          <w:bCs/>
          <w:sz w:val="32"/>
          <w:szCs w:val="32"/>
        </w:rPr>
        <w:t>累计扣分达到</w:t>
      </w:r>
      <w:r>
        <w:rPr>
          <w:rFonts w:hint="eastAsia" w:ascii="仿宋_GB2312" w:hAnsi="Times New Roman" w:eastAsia="仿宋_GB2312"/>
          <w:bCs/>
          <w:sz w:val="32"/>
          <w:szCs w:val="32"/>
          <w:lang w:val="en-US" w:eastAsia="zh-CN"/>
        </w:rPr>
        <w:t>3</w:t>
      </w:r>
      <w:r>
        <w:rPr>
          <w:rFonts w:hint="eastAsia" w:ascii="仿宋_GB2312" w:hAnsi="Times New Roman" w:eastAsia="仿宋_GB2312"/>
          <w:bCs/>
          <w:sz w:val="32"/>
          <w:szCs w:val="32"/>
        </w:rPr>
        <w:t>分的</w:t>
      </w:r>
      <w:r>
        <w:rPr>
          <w:rFonts w:hint="eastAsia" w:ascii="仿宋_GB2312" w:hAnsi="Times New Roman" w:eastAsia="仿宋_GB2312"/>
          <w:sz w:val="32"/>
          <w:szCs w:val="32"/>
          <w:lang w:val="en-US" w:eastAsia="zh-CN"/>
        </w:rPr>
        <w:t>研究生</w:t>
      </w:r>
      <w:r>
        <w:rPr>
          <w:rFonts w:hint="eastAsia" w:ascii="仿宋_GB2312" w:hAnsi="Times New Roman" w:eastAsia="仿宋_GB2312"/>
          <w:sz w:val="32"/>
          <w:szCs w:val="32"/>
        </w:rPr>
        <w:t>，责令书面检查</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在中心研究生群予以通报批评、导师扣发当月不低于50元科研补助</w:t>
      </w:r>
      <w:r>
        <w:rPr>
          <w:rFonts w:hint="eastAsia" w:ascii="仿宋_GB2312" w:hAnsi="Times New Roman" w:eastAsia="仿宋_GB2312"/>
          <w:sz w:val="32"/>
          <w:szCs w:val="32"/>
        </w:rPr>
        <w:t>。</w:t>
      </w:r>
    </w:p>
    <w:p>
      <w:pPr>
        <w:spacing w:line="56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lang w:val="en-US" w:eastAsia="zh-CN"/>
        </w:rPr>
        <w:t>2.</w:t>
      </w:r>
      <w:r>
        <w:rPr>
          <w:rFonts w:hint="eastAsia" w:ascii="仿宋_GB2312" w:hAnsi="Times New Roman" w:eastAsia="仿宋_GB2312"/>
          <w:bCs/>
          <w:sz w:val="32"/>
          <w:szCs w:val="32"/>
        </w:rPr>
        <w:t>累计扣分达到</w:t>
      </w:r>
      <w:r>
        <w:rPr>
          <w:rFonts w:hint="eastAsia" w:ascii="仿宋_GB2312" w:hAnsi="Times New Roman" w:eastAsia="仿宋_GB2312"/>
          <w:bCs/>
          <w:sz w:val="32"/>
          <w:szCs w:val="32"/>
          <w:lang w:val="en-US" w:eastAsia="zh-CN"/>
        </w:rPr>
        <w:t>6</w:t>
      </w:r>
      <w:r>
        <w:rPr>
          <w:rFonts w:hint="eastAsia" w:ascii="仿宋_GB2312" w:hAnsi="Times New Roman" w:eastAsia="仿宋_GB2312"/>
          <w:bCs/>
          <w:sz w:val="32"/>
          <w:szCs w:val="32"/>
        </w:rPr>
        <w:t>分的</w:t>
      </w:r>
      <w:r>
        <w:rPr>
          <w:rFonts w:hint="eastAsia" w:ascii="仿宋_GB2312" w:hAnsi="Times New Roman" w:eastAsia="仿宋_GB2312"/>
          <w:bCs/>
          <w:sz w:val="32"/>
          <w:szCs w:val="32"/>
          <w:lang w:val="en-US" w:eastAsia="zh-CN"/>
        </w:rPr>
        <w:t>研究生</w:t>
      </w:r>
      <w:r>
        <w:rPr>
          <w:rFonts w:hint="eastAsia" w:ascii="仿宋_GB2312" w:hAnsi="Times New Roman" w:eastAsia="仿宋_GB2312"/>
          <w:bCs/>
          <w:sz w:val="32"/>
          <w:szCs w:val="32"/>
        </w:rPr>
        <w:t>，</w:t>
      </w:r>
      <w:r>
        <w:rPr>
          <w:rFonts w:hint="eastAsia" w:ascii="仿宋_GB2312" w:hAnsi="Times New Roman" w:eastAsia="仿宋_GB2312"/>
          <w:sz w:val="32"/>
          <w:szCs w:val="32"/>
        </w:rPr>
        <w:t>责令书面检查</w:t>
      </w:r>
      <w:r>
        <w:rPr>
          <w:rFonts w:hint="eastAsia" w:ascii="仿宋_GB2312" w:hAnsi="Times New Roman" w:eastAsia="仿宋_GB2312"/>
          <w:sz w:val="32"/>
          <w:szCs w:val="32"/>
          <w:lang w:eastAsia="zh-CN"/>
        </w:rPr>
        <w:t>、</w:t>
      </w:r>
      <w:r>
        <w:rPr>
          <w:rFonts w:hint="eastAsia" w:ascii="仿宋_GB2312" w:hAnsi="Times New Roman" w:eastAsia="仿宋_GB2312"/>
          <w:bCs/>
          <w:sz w:val="32"/>
          <w:szCs w:val="32"/>
          <w:lang w:val="en-US" w:eastAsia="zh-CN"/>
        </w:rPr>
        <w:t>在中心研究生群予以通报批评；导师扣发当月不低于100元科研补助</w:t>
      </w:r>
      <w:r>
        <w:rPr>
          <w:rFonts w:hint="eastAsia" w:ascii="仿宋_GB2312" w:hAnsi="Times New Roman" w:eastAsia="仿宋_GB2312"/>
          <w:bCs/>
          <w:sz w:val="32"/>
          <w:szCs w:val="32"/>
        </w:rPr>
        <w:t>。</w:t>
      </w:r>
    </w:p>
    <w:p>
      <w:pPr>
        <w:spacing w:line="56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lang w:val="en-US" w:eastAsia="zh-CN"/>
        </w:rPr>
        <w:t>3.</w:t>
      </w:r>
      <w:r>
        <w:rPr>
          <w:rFonts w:hint="eastAsia" w:ascii="仿宋_GB2312" w:hAnsi="Times New Roman" w:eastAsia="仿宋_GB2312"/>
          <w:bCs/>
          <w:sz w:val="32"/>
          <w:szCs w:val="32"/>
        </w:rPr>
        <w:t>累计扣分达到12分及以上的</w:t>
      </w:r>
      <w:r>
        <w:rPr>
          <w:rFonts w:hint="eastAsia" w:ascii="仿宋_GB2312" w:hAnsi="Times New Roman" w:eastAsia="仿宋_GB2312"/>
          <w:bCs/>
          <w:sz w:val="32"/>
          <w:szCs w:val="32"/>
          <w:lang w:val="en-US" w:eastAsia="zh-CN"/>
        </w:rPr>
        <w:t>研究生</w:t>
      </w:r>
      <w:r>
        <w:rPr>
          <w:rFonts w:hint="eastAsia" w:ascii="仿宋_GB2312" w:hAnsi="Times New Roman" w:eastAsia="仿宋_GB2312"/>
          <w:bCs/>
          <w:sz w:val="32"/>
          <w:szCs w:val="32"/>
        </w:rPr>
        <w:t>，</w:t>
      </w:r>
      <w:r>
        <w:rPr>
          <w:rFonts w:hint="eastAsia" w:ascii="仿宋_GB2312" w:hAnsi="Times New Roman" w:eastAsia="仿宋_GB2312"/>
          <w:sz w:val="32"/>
          <w:szCs w:val="32"/>
        </w:rPr>
        <w:t>责令书面检查</w:t>
      </w:r>
      <w:r>
        <w:rPr>
          <w:rFonts w:hint="eastAsia" w:ascii="仿宋_GB2312" w:hAnsi="Times New Roman" w:eastAsia="仿宋_GB2312"/>
          <w:sz w:val="32"/>
          <w:szCs w:val="32"/>
          <w:lang w:eastAsia="zh-CN"/>
        </w:rPr>
        <w:t>、</w:t>
      </w:r>
      <w:r>
        <w:rPr>
          <w:rFonts w:hint="eastAsia" w:ascii="仿宋_GB2312" w:hAnsi="Times New Roman" w:eastAsia="仿宋_GB2312"/>
          <w:bCs/>
          <w:sz w:val="32"/>
          <w:szCs w:val="32"/>
          <w:lang w:val="en-US" w:eastAsia="zh-CN"/>
        </w:rPr>
        <w:t>中心发文通报批评；导师扣发当月科研补助；禁止进入中心一周，重新学习实验室安全管理相关规定，学习完成后，</w:t>
      </w:r>
      <w:r>
        <w:rPr>
          <w:rFonts w:hint="eastAsia" w:ascii="仿宋_GB2312" w:hAnsi="Times New Roman" w:eastAsia="仿宋_GB2312"/>
          <w:bCs/>
          <w:sz w:val="32"/>
          <w:szCs w:val="32"/>
        </w:rPr>
        <w:t>参加</w:t>
      </w:r>
      <w:r>
        <w:rPr>
          <w:rFonts w:hint="eastAsia" w:ascii="仿宋_GB2312" w:hAnsi="Times New Roman" w:eastAsia="仿宋_GB2312"/>
          <w:bCs/>
          <w:sz w:val="32"/>
          <w:szCs w:val="32"/>
          <w:lang w:val="en-US" w:eastAsia="zh-CN"/>
        </w:rPr>
        <w:t>学校</w:t>
      </w:r>
      <w:r>
        <w:rPr>
          <w:rFonts w:hint="eastAsia" w:ascii="仿宋_GB2312" w:hAnsi="Times New Roman" w:eastAsia="仿宋_GB2312"/>
          <w:bCs/>
          <w:sz w:val="32"/>
          <w:szCs w:val="32"/>
        </w:rPr>
        <w:t>实验室安全准入考试并取得合格证书</w:t>
      </w:r>
      <w:r>
        <w:rPr>
          <w:rFonts w:hint="eastAsia" w:ascii="仿宋_GB2312" w:hAnsi="Times New Roman" w:eastAsia="仿宋_GB2312"/>
          <w:bCs/>
          <w:sz w:val="32"/>
          <w:szCs w:val="32"/>
          <w:lang w:val="en-US" w:eastAsia="zh-CN"/>
        </w:rPr>
        <w:t>后，才允许进入中心</w:t>
      </w:r>
      <w:r>
        <w:rPr>
          <w:rFonts w:hint="eastAsia" w:ascii="仿宋_GB2312" w:hAnsi="Times New Roman" w:eastAsia="仿宋_GB2312"/>
          <w:bCs/>
          <w:sz w:val="32"/>
          <w:szCs w:val="32"/>
        </w:rPr>
        <w:t>。</w:t>
      </w:r>
    </w:p>
    <w:p>
      <w:pPr>
        <w:spacing w:line="560" w:lineRule="exact"/>
        <w:ind w:firstLine="643" w:firstLineChars="200"/>
        <w:rPr>
          <w:rFonts w:hint="eastAsia" w:ascii="仿宋_GB2312" w:hAnsi="Times New Roman" w:eastAsia="仿宋_GB2312"/>
          <w:bCs/>
          <w:sz w:val="32"/>
          <w:szCs w:val="32"/>
          <w:lang w:val="en-US" w:eastAsia="zh-CN"/>
        </w:rPr>
      </w:pPr>
      <w:r>
        <w:rPr>
          <w:rFonts w:hint="eastAsia" w:ascii="仿宋_GB2312" w:hAnsi="Times New Roman" w:eastAsia="仿宋_GB2312"/>
          <w:b/>
          <w:bCs/>
          <w:sz w:val="32"/>
          <w:szCs w:val="32"/>
        </w:rPr>
        <w:t>第</w:t>
      </w:r>
      <w:r>
        <w:rPr>
          <w:rFonts w:hint="eastAsia" w:ascii="仿宋_GB2312" w:hAnsi="Times New Roman" w:eastAsia="仿宋_GB2312"/>
          <w:b/>
          <w:bCs/>
          <w:sz w:val="32"/>
          <w:szCs w:val="32"/>
          <w:lang w:val="en-US" w:eastAsia="zh-CN"/>
        </w:rPr>
        <w:t>六</w:t>
      </w:r>
      <w:r>
        <w:rPr>
          <w:rFonts w:hint="eastAsia" w:ascii="仿宋_GB2312" w:hAnsi="Times New Roman" w:eastAsia="仿宋_GB2312"/>
          <w:b/>
          <w:bCs/>
          <w:sz w:val="32"/>
          <w:szCs w:val="32"/>
        </w:rPr>
        <w:t>条</w:t>
      </w:r>
      <w:r>
        <w:rPr>
          <w:rFonts w:hint="eastAsia" w:ascii="仿宋_GB2312" w:hAnsi="Times New Roman" w:eastAsia="仿宋_GB2312"/>
          <w:b/>
          <w:bCs/>
          <w:sz w:val="32"/>
          <w:szCs w:val="32"/>
          <w:lang w:val="en-US" w:eastAsia="zh-CN"/>
        </w:rPr>
        <w:t xml:space="preserve"> </w:t>
      </w:r>
      <w:r>
        <w:rPr>
          <w:rFonts w:hint="eastAsia" w:ascii="仿宋_GB2312" w:hAnsi="Times New Roman" w:eastAsia="仿宋_GB2312"/>
          <w:bCs/>
          <w:sz w:val="32"/>
          <w:szCs w:val="32"/>
          <w:lang w:val="en-US" w:eastAsia="zh-CN"/>
        </w:rPr>
        <w:t>记分周期为一学期，</w:t>
      </w:r>
      <w:r>
        <w:rPr>
          <w:rFonts w:hint="eastAsia" w:ascii="仿宋_GB2312" w:hAnsi="Times New Roman" w:eastAsia="仿宋_GB2312"/>
          <w:bCs/>
          <w:sz w:val="32"/>
          <w:szCs w:val="32"/>
        </w:rPr>
        <w:t>每学期</w:t>
      </w:r>
      <w:r>
        <w:rPr>
          <w:rFonts w:hint="eastAsia" w:ascii="仿宋_GB2312" w:hAnsi="Times New Roman" w:eastAsia="仿宋_GB2312"/>
          <w:bCs/>
          <w:sz w:val="32"/>
          <w:szCs w:val="32"/>
          <w:lang w:val="en-US" w:eastAsia="zh-CN"/>
        </w:rPr>
        <w:t>开学所在月扣分“清零”，重新计分。</w:t>
      </w:r>
    </w:p>
    <w:p>
      <w:pPr>
        <w:spacing w:line="560" w:lineRule="exact"/>
        <w:ind w:firstLine="643" w:firstLineChars="200"/>
        <w:rPr>
          <w:rFonts w:hint="eastAsia" w:ascii="仿宋_GB2312" w:hAnsi="Times New Roman" w:eastAsia="仿宋_GB2312"/>
          <w:bCs/>
          <w:sz w:val="32"/>
          <w:szCs w:val="32"/>
          <w:lang w:val="en-US" w:eastAsia="zh-CN"/>
        </w:rPr>
      </w:pPr>
      <w:r>
        <w:rPr>
          <w:rFonts w:hint="eastAsia" w:ascii="仿宋_GB2312" w:hAnsi="Times New Roman" w:eastAsia="仿宋_GB2312"/>
          <w:b/>
          <w:bCs/>
          <w:sz w:val="32"/>
          <w:szCs w:val="32"/>
        </w:rPr>
        <w:t>第</w:t>
      </w:r>
      <w:r>
        <w:rPr>
          <w:rFonts w:hint="eastAsia" w:ascii="仿宋_GB2312" w:hAnsi="Times New Roman" w:eastAsia="仿宋_GB2312"/>
          <w:b/>
          <w:bCs/>
          <w:sz w:val="32"/>
          <w:szCs w:val="32"/>
          <w:lang w:val="en-US" w:eastAsia="zh-CN"/>
        </w:rPr>
        <w:t>七</w:t>
      </w:r>
      <w:r>
        <w:rPr>
          <w:rFonts w:hint="eastAsia" w:ascii="仿宋_GB2312" w:hAnsi="Times New Roman" w:eastAsia="仿宋_GB2312"/>
          <w:b/>
          <w:bCs/>
          <w:sz w:val="32"/>
          <w:szCs w:val="32"/>
        </w:rPr>
        <w:t>条</w:t>
      </w:r>
      <w:r>
        <w:rPr>
          <w:rFonts w:hint="eastAsia" w:ascii="仿宋_GB2312" w:hAnsi="Times New Roman" w:eastAsia="仿宋_GB2312"/>
          <w:b/>
          <w:bCs/>
          <w:sz w:val="32"/>
          <w:szCs w:val="32"/>
          <w:lang w:val="en-US" w:eastAsia="zh-CN"/>
        </w:rPr>
        <w:t xml:space="preserve"> </w:t>
      </w:r>
      <w:r>
        <w:rPr>
          <w:rFonts w:hint="eastAsia" w:ascii="仿宋_GB2312" w:hAnsi="Times New Roman" w:eastAsia="仿宋_GB2312"/>
          <w:bCs/>
          <w:sz w:val="32"/>
          <w:szCs w:val="32"/>
          <w:lang w:val="en-US" w:eastAsia="zh-CN"/>
        </w:rPr>
        <w:t>实验室安全月、重大节假日期间的违规行为；一个月内连续发生的违规行为；记分周期内再次违反同一个违规行为，以基准分的2倍标准扣分。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bCs/>
          <w:sz w:val="32"/>
          <w:szCs w:val="32"/>
        </w:rPr>
        <w:t>第</w:t>
      </w:r>
      <w:r>
        <w:rPr>
          <w:rFonts w:hint="eastAsia" w:ascii="仿宋_GB2312" w:hAnsi="Times New Roman" w:eastAsia="仿宋_GB2312"/>
          <w:b/>
          <w:bCs/>
          <w:sz w:val="32"/>
          <w:szCs w:val="32"/>
          <w:lang w:val="en-US" w:eastAsia="zh-CN"/>
        </w:rPr>
        <w:t>八</w:t>
      </w:r>
      <w:r>
        <w:rPr>
          <w:rFonts w:hint="eastAsia" w:ascii="仿宋_GB2312" w:hAnsi="Times New Roman" w:eastAsia="仿宋_GB2312"/>
          <w:b/>
          <w:bCs/>
          <w:sz w:val="32"/>
          <w:szCs w:val="32"/>
        </w:rPr>
        <w:t xml:space="preserve">条 </w:t>
      </w:r>
      <w:r>
        <w:rPr>
          <w:rFonts w:ascii="仿宋_GB2312" w:hAnsi="Times New Roman" w:eastAsia="仿宋_GB2312"/>
          <w:b/>
          <w:bCs/>
          <w:sz w:val="32"/>
          <w:szCs w:val="32"/>
        </w:rPr>
        <w:t xml:space="preserve"> </w:t>
      </w:r>
      <w:r>
        <w:rPr>
          <w:rFonts w:hint="eastAsia" w:ascii="仿宋_GB2312" w:hAnsi="Times New Roman" w:eastAsia="仿宋_GB2312"/>
          <w:sz w:val="32"/>
          <w:szCs w:val="32"/>
          <w:lang w:val="en-US" w:eastAsia="zh-CN"/>
        </w:rPr>
        <w:t>中心实验室管理人员</w:t>
      </w:r>
      <w:r>
        <w:rPr>
          <w:rFonts w:hint="eastAsia" w:ascii="仿宋_GB2312" w:hAnsi="Times New Roman" w:eastAsia="仿宋_GB2312"/>
          <w:sz w:val="32"/>
          <w:szCs w:val="32"/>
        </w:rPr>
        <w:t>负责统计汇总扣分结果，根据安全检查具体情况更新《扣分表》。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宋体"/>
          <w:kern w:val="0"/>
          <w:sz w:val="32"/>
          <w:szCs w:val="32"/>
        </w:rPr>
      </w:pPr>
      <w:r>
        <w:rPr>
          <w:rFonts w:hint="eastAsia" w:ascii="仿宋_GB2312" w:hAnsi="Times New Roman" w:eastAsia="仿宋_GB2312"/>
          <w:b/>
          <w:bCs/>
          <w:sz w:val="32"/>
          <w:szCs w:val="32"/>
        </w:rPr>
        <w:t>第</w:t>
      </w:r>
      <w:r>
        <w:rPr>
          <w:rFonts w:hint="eastAsia" w:ascii="仿宋_GB2312" w:hAnsi="Times New Roman" w:eastAsia="仿宋_GB2312"/>
          <w:b/>
          <w:bCs/>
          <w:sz w:val="32"/>
          <w:szCs w:val="32"/>
          <w:lang w:val="en-US" w:eastAsia="zh-CN"/>
        </w:rPr>
        <w:t>九</w:t>
      </w:r>
      <w:r>
        <w:rPr>
          <w:rFonts w:hint="eastAsia" w:ascii="仿宋_GB2312" w:hAnsi="Times New Roman" w:eastAsia="仿宋_GB2312"/>
          <w:b/>
          <w:bCs/>
          <w:sz w:val="32"/>
          <w:szCs w:val="32"/>
        </w:rPr>
        <w:t>条</w:t>
      </w:r>
      <w:r>
        <w:rPr>
          <w:rFonts w:hint="eastAsia" w:ascii="仿宋_GB2312" w:hAnsi="Times New Roman" w:eastAsia="仿宋_GB2312"/>
          <w:b/>
          <w:bCs/>
          <w:sz w:val="32"/>
          <w:szCs w:val="32"/>
          <w:lang w:val="en-US" w:eastAsia="zh-CN"/>
        </w:rPr>
        <w:t xml:space="preserve">  </w:t>
      </w:r>
      <w:r>
        <w:rPr>
          <w:rFonts w:hint="eastAsia" w:ascii="仿宋_GB2312" w:hAnsi="仿宋" w:eastAsia="仿宋_GB2312" w:cs="宋体"/>
          <w:kern w:val="0"/>
          <w:sz w:val="32"/>
          <w:szCs w:val="32"/>
        </w:rPr>
        <w:t>本细则自印发之日起实施，由</w:t>
      </w:r>
      <w:r>
        <w:rPr>
          <w:rFonts w:hint="eastAsia" w:ascii="仿宋_GB2312" w:hAnsi="仿宋" w:eastAsia="仿宋_GB2312" w:cs="宋体"/>
          <w:kern w:val="0"/>
          <w:sz w:val="32"/>
          <w:szCs w:val="32"/>
          <w:lang w:val="en-US" w:eastAsia="zh-CN"/>
        </w:rPr>
        <w:t>中心</w:t>
      </w:r>
      <w:r>
        <w:rPr>
          <w:rFonts w:hint="eastAsia" w:ascii="仿宋_GB2312" w:hAnsi="仿宋" w:eastAsia="仿宋_GB2312" w:cs="宋体"/>
          <w:kern w:val="0"/>
          <w:sz w:val="32"/>
          <w:szCs w:val="32"/>
        </w:rPr>
        <w:t>负责解释。</w:t>
      </w:r>
    </w:p>
    <w:p>
      <w:pPr>
        <w:spacing w:line="560" w:lineRule="exact"/>
        <w:rPr>
          <w:rFonts w:ascii="仿宋_GB2312" w:hAnsi="仿宋" w:eastAsia="仿宋_GB2312" w:cs="宋体"/>
          <w:color w:val="FF0000"/>
          <w:kern w:val="0"/>
          <w:sz w:val="32"/>
          <w:szCs w:val="32"/>
        </w:rPr>
      </w:pPr>
    </w:p>
    <w:p>
      <w:pPr>
        <w:spacing w:line="56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附件：《煤加工中心实验室安全检查违规项目扣分表》（</w:t>
      </w:r>
      <w:r>
        <w:rPr>
          <w:rFonts w:ascii="仿宋_GB2312" w:hAnsi="仿宋" w:eastAsia="仿宋_GB2312" w:cs="宋体"/>
          <w:kern w:val="0"/>
          <w:sz w:val="32"/>
          <w:szCs w:val="32"/>
        </w:rPr>
        <w:t>2022</w:t>
      </w:r>
      <w:r>
        <w:rPr>
          <w:rFonts w:hint="eastAsia" w:ascii="仿宋_GB2312" w:hAnsi="仿宋" w:eastAsia="仿宋_GB2312" w:cs="宋体"/>
          <w:kern w:val="0"/>
          <w:sz w:val="32"/>
          <w:szCs w:val="32"/>
        </w:rPr>
        <w:t>版）</w:t>
      </w:r>
    </w:p>
    <w:p>
      <w:pPr>
        <w:widowControl/>
        <w:jc w:val="left"/>
      </w:pPr>
    </w:p>
    <w:p>
      <w:pPr>
        <w:spacing w:line="560" w:lineRule="exact"/>
        <w:jc w:val="right"/>
        <w:rPr>
          <w:rFonts w:ascii="仿宋" w:hAnsi="仿宋" w:eastAsia="仿宋"/>
          <w:sz w:val="32"/>
          <w:szCs w:val="28"/>
        </w:rPr>
      </w:pPr>
      <w:r>
        <w:rPr>
          <w:rFonts w:ascii="仿宋" w:hAnsi="仿宋" w:eastAsia="仿宋"/>
          <w:sz w:val="32"/>
          <w:szCs w:val="28"/>
        </w:rPr>
        <w:t>国家煤加工与洁净化工程技术研究中心</w:t>
      </w:r>
    </w:p>
    <w:p>
      <w:pPr>
        <w:spacing w:line="560" w:lineRule="exact"/>
        <w:ind w:firstLine="570"/>
        <w:jc w:val="right"/>
        <w:rPr>
          <w:rFonts w:ascii="仿宋" w:hAnsi="仿宋" w:eastAsia="仿宋"/>
          <w:sz w:val="32"/>
          <w:szCs w:val="28"/>
        </w:rPr>
      </w:pPr>
      <w:r>
        <w:rPr>
          <w:rFonts w:ascii="仿宋" w:hAnsi="仿宋" w:eastAsia="仿宋"/>
          <w:sz w:val="32"/>
          <w:szCs w:val="28"/>
        </w:rPr>
        <w:t xml:space="preserve">                       20</w:t>
      </w:r>
      <w:r>
        <w:rPr>
          <w:rFonts w:hint="eastAsia" w:ascii="仿宋" w:hAnsi="仿宋" w:eastAsia="仿宋"/>
          <w:sz w:val="32"/>
          <w:szCs w:val="28"/>
          <w:lang w:val="en-US" w:eastAsia="zh-CN"/>
        </w:rPr>
        <w:t>22</w:t>
      </w:r>
      <w:r>
        <w:rPr>
          <w:rFonts w:ascii="仿宋" w:hAnsi="仿宋" w:eastAsia="仿宋"/>
          <w:sz w:val="32"/>
          <w:szCs w:val="28"/>
        </w:rPr>
        <w:t>年</w:t>
      </w:r>
      <w:r>
        <w:rPr>
          <w:rFonts w:hint="eastAsia" w:ascii="仿宋" w:hAnsi="仿宋" w:eastAsia="仿宋"/>
          <w:sz w:val="32"/>
          <w:szCs w:val="28"/>
          <w:lang w:val="en-US" w:eastAsia="zh-CN"/>
        </w:rPr>
        <w:t>4</w:t>
      </w:r>
      <w:r>
        <w:rPr>
          <w:rFonts w:ascii="仿宋" w:hAnsi="仿宋" w:eastAsia="仿宋"/>
          <w:sz w:val="32"/>
          <w:szCs w:val="28"/>
        </w:rPr>
        <w:t>月</w:t>
      </w:r>
      <w:r>
        <w:rPr>
          <w:rFonts w:hint="eastAsia" w:ascii="仿宋" w:hAnsi="仿宋" w:eastAsia="仿宋"/>
          <w:sz w:val="32"/>
          <w:szCs w:val="28"/>
          <w:lang w:val="en-US" w:eastAsia="zh-CN"/>
        </w:rPr>
        <w:t>1</w:t>
      </w:r>
      <w:r>
        <w:rPr>
          <w:rFonts w:ascii="仿宋" w:hAnsi="仿宋" w:eastAsia="仿宋"/>
          <w:sz w:val="32"/>
          <w:szCs w:val="28"/>
        </w:rPr>
        <w:t>日</w:t>
      </w:r>
    </w:p>
    <w:p>
      <w:pPr>
        <w:widowControl/>
        <w:jc w:val="right"/>
        <w:sectPr>
          <w:footerReference r:id="rId3" w:type="default"/>
          <w:footerReference r:id="rId4" w:type="even"/>
          <w:pgSz w:w="11906" w:h="16838"/>
          <w:pgMar w:top="2098" w:right="1588" w:bottom="1985" w:left="1588" w:header="851" w:footer="992" w:gutter="0"/>
          <w:pgNumType w:fmt="numberInDash"/>
          <w:cols w:space="425" w:num="1"/>
          <w:titlePg/>
          <w:docGrid w:type="lines" w:linePitch="312" w:charSpace="0"/>
        </w:sectPr>
      </w:pPr>
    </w:p>
    <w:p>
      <w:pPr>
        <w:widowControl/>
        <w:jc w:val="left"/>
        <w:rPr>
          <w:rFonts w:hint="eastAsia" w:ascii="方正小标宋简体" w:hAnsi="方正小标宋简体" w:eastAsia="仿宋_GB2312"/>
          <w:sz w:val="36"/>
          <w:szCs w:val="36"/>
          <w:lang w:eastAsia="zh-CN"/>
        </w:rPr>
      </w:pPr>
      <w:r>
        <w:rPr>
          <w:rFonts w:hint="eastAsia" w:ascii="仿宋_GB2312" w:hAnsi="仿宋" w:eastAsia="仿宋_GB2312" w:cs="宋体"/>
          <w:kern w:val="0"/>
          <w:sz w:val="32"/>
          <w:szCs w:val="32"/>
        </w:rPr>
        <w:t>附件</w:t>
      </w:r>
      <w:r>
        <w:rPr>
          <w:rFonts w:hint="eastAsia" w:ascii="仿宋_GB2312" w:hAnsi="仿宋" w:eastAsia="仿宋_GB2312" w:cs="宋体"/>
          <w:kern w:val="0"/>
          <w:sz w:val="32"/>
          <w:szCs w:val="32"/>
          <w:lang w:eastAsia="zh-CN"/>
        </w:rPr>
        <w:t>：</w:t>
      </w:r>
    </w:p>
    <w:p>
      <w:pPr>
        <w:widowControl/>
        <w:jc w:val="center"/>
        <w:rPr>
          <w:rFonts w:hint="eastAsia" w:ascii="方正小标宋简体" w:hAnsi="方正小标宋简体" w:eastAsia="方正小标宋简体"/>
          <w:sz w:val="36"/>
          <w:szCs w:val="36"/>
        </w:rPr>
      </w:pPr>
      <w:r>
        <w:rPr>
          <w:rFonts w:hint="eastAsia" w:ascii="方正小标宋简体" w:hAnsi="方正小标宋简体" w:eastAsia="方正小标宋简体"/>
          <w:sz w:val="36"/>
          <w:szCs w:val="36"/>
        </w:rPr>
        <w:t>煤加工中心实验室安全检查违规项目扣分表</w:t>
      </w:r>
    </w:p>
    <w:p>
      <w:pPr>
        <w:widowControl/>
        <w:jc w:val="center"/>
        <w:rPr>
          <w:rFonts w:hint="eastAsia" w:ascii="方正小标宋简体" w:hAnsi="方正小标宋简体" w:eastAsia="方正小标宋简体"/>
          <w:sz w:val="36"/>
          <w:szCs w:val="36"/>
          <w:lang w:eastAsia="zh-CN"/>
        </w:rPr>
      </w:pPr>
      <w:r>
        <w:rPr>
          <w:rFonts w:hint="eastAsia" w:ascii="方正小标宋简体" w:hAnsi="方正小标宋简体" w:eastAsia="方正小标宋简体"/>
          <w:sz w:val="36"/>
          <w:szCs w:val="36"/>
          <w:lang w:eastAsia="zh-CN"/>
        </w:rPr>
        <w:t>（</w:t>
      </w:r>
      <w:r>
        <w:rPr>
          <w:rFonts w:hint="eastAsia" w:ascii="方正小标宋简体" w:hAnsi="方正小标宋简体" w:eastAsia="方正小标宋简体"/>
          <w:sz w:val="36"/>
          <w:szCs w:val="36"/>
          <w:lang w:val="en-US" w:eastAsia="zh-CN"/>
        </w:rPr>
        <w:t>2022版</w:t>
      </w:r>
      <w:r>
        <w:rPr>
          <w:rFonts w:hint="eastAsia" w:ascii="方正小标宋简体" w:hAnsi="方正小标宋简体" w:eastAsia="方正小标宋简体"/>
          <w:sz w:val="36"/>
          <w:szCs w:val="36"/>
          <w:lang w:eastAsia="zh-CN"/>
        </w:rPr>
        <w:t>）</w:t>
      </w:r>
    </w:p>
    <w:tbl>
      <w:tblPr>
        <w:tblStyle w:val="7"/>
        <w:tblpPr w:leftFromText="180" w:rightFromText="180" w:vertAnchor="text" w:horzAnchor="page" w:tblpX="1341" w:tblpY="129"/>
        <w:tblOverlap w:val="never"/>
        <w:tblW w:w="54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901"/>
        <w:gridCol w:w="8321"/>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43" w:type="pct"/>
            <w:tcMar>
              <w:left w:w="45" w:type="dxa"/>
              <w:right w:w="45" w:type="dxa"/>
            </w:tcMar>
            <w:vAlign w:val="center"/>
          </w:tcPr>
          <w:p>
            <w:pPr>
              <w:jc w:val="center"/>
              <w:rPr>
                <w:rFonts w:hint="eastAsia" w:eastAsia="黑体"/>
                <w:bCs/>
                <w:kern w:val="0"/>
                <w:szCs w:val="21"/>
              </w:rPr>
            </w:pPr>
            <w:r>
              <w:rPr>
                <w:rFonts w:hint="eastAsia" w:eastAsia="黑体"/>
                <w:bCs/>
                <w:kern w:val="0"/>
                <w:szCs w:val="21"/>
                <w:lang w:val="en-US" w:eastAsia="zh-CN"/>
              </w:rPr>
              <w:t>序号</w:t>
            </w:r>
          </w:p>
        </w:tc>
        <w:tc>
          <w:tcPr>
            <w:tcW w:w="1403" w:type="pct"/>
            <w:tcMar>
              <w:left w:w="45" w:type="dxa"/>
              <w:right w:w="45" w:type="dxa"/>
            </w:tcMar>
            <w:vAlign w:val="center"/>
          </w:tcPr>
          <w:p>
            <w:pPr>
              <w:jc w:val="center"/>
              <w:rPr>
                <w:rFonts w:hint="eastAsia" w:eastAsia="黑体"/>
                <w:bCs/>
                <w:kern w:val="0"/>
                <w:szCs w:val="21"/>
              </w:rPr>
            </w:pPr>
            <w:r>
              <w:rPr>
                <w:rFonts w:hint="eastAsia" w:eastAsia="黑体"/>
                <w:bCs/>
                <w:kern w:val="0"/>
                <w:szCs w:val="21"/>
              </w:rPr>
              <w:t>检查项目</w:t>
            </w:r>
          </w:p>
        </w:tc>
        <w:tc>
          <w:tcPr>
            <w:tcW w:w="2993" w:type="pct"/>
            <w:tcMar>
              <w:left w:w="45" w:type="dxa"/>
              <w:right w:w="45" w:type="dxa"/>
            </w:tcMar>
            <w:vAlign w:val="center"/>
          </w:tcPr>
          <w:p>
            <w:pPr>
              <w:jc w:val="center"/>
              <w:rPr>
                <w:rFonts w:hint="eastAsia" w:eastAsia="黑体"/>
                <w:bCs/>
                <w:kern w:val="0"/>
                <w:szCs w:val="21"/>
              </w:rPr>
            </w:pPr>
            <w:r>
              <w:rPr>
                <w:rFonts w:hint="eastAsia" w:eastAsia="黑体"/>
                <w:bCs/>
                <w:kern w:val="0"/>
                <w:szCs w:val="21"/>
              </w:rPr>
              <w:t>检查要点</w:t>
            </w:r>
          </w:p>
        </w:tc>
        <w:tc>
          <w:tcPr>
            <w:tcW w:w="359" w:type="pct"/>
            <w:tcMar>
              <w:left w:w="45" w:type="dxa"/>
              <w:right w:w="45" w:type="dxa"/>
            </w:tcMar>
            <w:vAlign w:val="center"/>
          </w:tcPr>
          <w:p>
            <w:pPr>
              <w:jc w:val="center"/>
              <w:rPr>
                <w:rFonts w:hint="eastAsia" w:eastAsia="黑体"/>
                <w:bCs/>
                <w:kern w:val="0"/>
                <w:szCs w:val="21"/>
              </w:rPr>
            </w:pPr>
            <w:r>
              <w:rPr>
                <w:rFonts w:hint="eastAsia" w:eastAsia="黑体"/>
                <w:bCs/>
                <w:kern w:val="0"/>
                <w:szCs w:val="21"/>
              </w:rPr>
              <w:t>扣减分数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43" w:type="pct"/>
            <w:tcMar>
              <w:left w:w="45" w:type="dxa"/>
              <w:right w:w="45" w:type="dxa"/>
            </w:tcMar>
            <w:vAlign w:val="center"/>
          </w:tcPr>
          <w:p>
            <w:pPr>
              <w:widowControl/>
              <w:jc w:val="center"/>
              <w:rPr>
                <w:rFonts w:hint="eastAsia" w:asciiTheme="minorHAnsi" w:hAnsiTheme="minorHAnsi" w:eastAsiaTheme="minorEastAsia" w:cstheme="minorBidi"/>
                <w:color w:val="auto"/>
                <w:kern w:val="0"/>
                <w:sz w:val="21"/>
                <w:szCs w:val="21"/>
                <w:lang w:val="en-US" w:eastAsia="zh-CN" w:bidi="ar-SA"/>
              </w:rPr>
            </w:pPr>
            <w:r>
              <w:rPr>
                <w:rFonts w:hint="eastAsia"/>
                <w:color w:val="auto"/>
                <w:kern w:val="0"/>
                <w:szCs w:val="21"/>
                <w:lang w:val="en-US" w:eastAsia="zh-CN"/>
              </w:rPr>
              <w:t>1</w:t>
            </w:r>
          </w:p>
        </w:tc>
        <w:tc>
          <w:tcPr>
            <w:tcW w:w="1403" w:type="pct"/>
            <w:tcMar>
              <w:left w:w="45" w:type="dxa"/>
              <w:right w:w="45" w:type="dxa"/>
            </w:tcMar>
            <w:vAlign w:val="center"/>
          </w:tcPr>
          <w:p>
            <w:pPr>
              <w:widowControl/>
              <w:jc w:val="left"/>
              <w:rPr>
                <w:rFonts w:hint="eastAsia" w:asciiTheme="minorHAnsi" w:hAnsiTheme="minorHAnsi" w:eastAsiaTheme="minorEastAsia" w:cstheme="minorBidi"/>
                <w:color w:val="auto"/>
                <w:kern w:val="0"/>
                <w:sz w:val="21"/>
                <w:szCs w:val="21"/>
                <w:lang w:val="en-US" w:eastAsia="zh-CN" w:bidi="ar-SA"/>
              </w:rPr>
            </w:pPr>
            <w:r>
              <w:rPr>
                <w:rFonts w:hint="eastAsia"/>
                <w:color w:val="auto"/>
                <w:szCs w:val="21"/>
              </w:rPr>
              <w:t>新增实验室项目开展风险评估</w:t>
            </w:r>
          </w:p>
        </w:tc>
        <w:tc>
          <w:tcPr>
            <w:tcW w:w="2993" w:type="pct"/>
            <w:tcMar>
              <w:left w:w="45" w:type="dxa"/>
              <w:right w:w="45" w:type="dxa"/>
            </w:tcMar>
            <w:vAlign w:val="center"/>
          </w:tcPr>
          <w:p>
            <w:pPr>
              <w:widowControl/>
              <w:jc w:val="left"/>
              <w:rPr>
                <w:rFonts w:hint="eastAsia" w:asciiTheme="minorHAnsi" w:hAnsiTheme="minorHAnsi" w:eastAsiaTheme="minorEastAsia" w:cstheme="minorBidi"/>
                <w:color w:val="auto"/>
                <w:kern w:val="0"/>
                <w:sz w:val="21"/>
                <w:szCs w:val="21"/>
                <w:lang w:val="en-US" w:eastAsia="zh-CN" w:bidi="ar-SA"/>
              </w:rPr>
            </w:pPr>
            <w:r>
              <w:rPr>
                <w:rFonts w:hint="eastAsia"/>
                <w:color w:val="auto"/>
                <w:szCs w:val="21"/>
              </w:rPr>
              <w:t>实验室新增实验项目须开展安全风险评估。</w:t>
            </w:r>
          </w:p>
        </w:tc>
        <w:tc>
          <w:tcPr>
            <w:tcW w:w="359" w:type="pct"/>
            <w:tcMar>
              <w:left w:w="45" w:type="dxa"/>
              <w:right w:w="45" w:type="dxa"/>
            </w:tcMar>
            <w:vAlign w:val="center"/>
          </w:tcPr>
          <w:p>
            <w:pPr>
              <w:widowControl/>
              <w:jc w:val="center"/>
              <w:rPr>
                <w:rFonts w:hint="eastAsia" w:asciiTheme="minorHAnsi" w:hAnsiTheme="minorHAnsi" w:eastAsiaTheme="minorEastAsia" w:cstheme="minorBidi"/>
                <w:bCs/>
                <w:color w:val="auto"/>
                <w:kern w:val="0"/>
                <w:sz w:val="21"/>
                <w:szCs w:val="21"/>
                <w:lang w:val="en-US" w:eastAsia="zh-CN" w:bidi="ar-SA"/>
              </w:rPr>
            </w:pPr>
            <w:r>
              <w:rPr>
                <w:rFonts w:ascii="Calibri" w:hAnsi="Calibri" w:eastAsia="等线" w:cs="Calibri"/>
                <w:color w:val="auto"/>
                <w:szCs w:val="21"/>
              </w:rPr>
              <w:t>12</w:t>
            </w:r>
            <w:r>
              <w:rPr>
                <w:rFonts w:hint="eastAsia" w:cs="Calibri"/>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43" w:type="pct"/>
            <w:tcMar>
              <w:left w:w="45" w:type="dxa"/>
              <w:right w:w="45" w:type="dxa"/>
            </w:tcMar>
            <w:vAlign w:val="center"/>
          </w:tcPr>
          <w:p>
            <w:pPr>
              <w:widowControl/>
              <w:jc w:val="center"/>
              <w:rPr>
                <w:rFonts w:hint="eastAsia" w:eastAsiaTheme="minorEastAsia"/>
                <w:color w:val="auto"/>
                <w:kern w:val="0"/>
                <w:szCs w:val="21"/>
                <w:lang w:eastAsia="zh-CN"/>
              </w:rPr>
            </w:pPr>
            <w:r>
              <w:rPr>
                <w:rFonts w:hint="eastAsia"/>
                <w:color w:val="auto"/>
                <w:kern w:val="0"/>
                <w:szCs w:val="21"/>
                <w:lang w:val="en-US" w:eastAsia="zh-CN"/>
              </w:rPr>
              <w:t>2</w:t>
            </w:r>
          </w:p>
        </w:tc>
        <w:tc>
          <w:tcPr>
            <w:tcW w:w="1403" w:type="pct"/>
            <w:tcMar>
              <w:left w:w="45" w:type="dxa"/>
              <w:right w:w="45" w:type="dxa"/>
            </w:tcMar>
            <w:vAlign w:val="center"/>
          </w:tcPr>
          <w:p>
            <w:pPr>
              <w:widowControl/>
              <w:jc w:val="left"/>
              <w:rPr>
                <w:rFonts w:hint="eastAsia"/>
                <w:color w:val="auto"/>
                <w:szCs w:val="21"/>
              </w:rPr>
            </w:pPr>
            <w:r>
              <w:rPr>
                <w:rFonts w:hint="eastAsia"/>
                <w:color w:val="auto"/>
                <w:szCs w:val="21"/>
              </w:rPr>
              <w:t>剧毒品、易制毒品、易制爆品、爆炸品的购买程序合规</w:t>
            </w:r>
          </w:p>
        </w:tc>
        <w:tc>
          <w:tcPr>
            <w:tcW w:w="2993" w:type="pct"/>
            <w:tcMar>
              <w:left w:w="45" w:type="dxa"/>
              <w:right w:w="45" w:type="dxa"/>
            </w:tcMar>
            <w:vAlign w:val="center"/>
          </w:tcPr>
          <w:p>
            <w:pPr>
              <w:widowControl/>
              <w:jc w:val="left"/>
              <w:rPr>
                <w:rFonts w:hint="eastAsia"/>
                <w:color w:val="auto"/>
                <w:szCs w:val="21"/>
              </w:rPr>
            </w:pPr>
            <w:r>
              <w:rPr>
                <w:rFonts w:hint="eastAsia"/>
                <w:color w:val="auto"/>
                <w:szCs w:val="21"/>
              </w:rPr>
              <w:t>1.此类危险化学品购买前须经学校审批，由单位统一采购；</w:t>
            </w:r>
            <w:r>
              <w:rPr>
                <w:rFonts w:hint="eastAsia"/>
                <w:color w:val="auto"/>
                <w:szCs w:val="21"/>
              </w:rPr>
              <w:br w:type="textWrapping"/>
            </w:r>
            <w:r>
              <w:rPr>
                <w:rFonts w:hint="eastAsia"/>
                <w:color w:val="auto"/>
                <w:szCs w:val="21"/>
              </w:rPr>
              <w:t>2.不得私自从外单位获取管控化学品；</w:t>
            </w:r>
            <w:r>
              <w:rPr>
                <w:rFonts w:hint="eastAsia"/>
                <w:color w:val="auto"/>
                <w:szCs w:val="21"/>
              </w:rPr>
              <w:br w:type="textWrapping"/>
            </w:r>
            <w:r>
              <w:rPr>
                <w:rFonts w:hint="eastAsia"/>
                <w:color w:val="auto"/>
                <w:szCs w:val="21"/>
              </w:rPr>
              <w:t>3.购买此类危险化学品应有规范的验收记录。</w:t>
            </w:r>
          </w:p>
        </w:tc>
        <w:tc>
          <w:tcPr>
            <w:tcW w:w="359" w:type="pct"/>
            <w:tcMar>
              <w:left w:w="45" w:type="dxa"/>
              <w:right w:w="45" w:type="dxa"/>
            </w:tcMar>
            <w:vAlign w:val="center"/>
          </w:tcPr>
          <w:p>
            <w:pPr>
              <w:widowControl/>
              <w:jc w:val="center"/>
              <w:rPr>
                <w:rFonts w:hint="eastAsia"/>
                <w:color w:val="auto"/>
                <w:szCs w:val="21"/>
              </w:rPr>
            </w:pPr>
            <w:r>
              <w:rPr>
                <w:rFonts w:hint="eastAsia"/>
                <w:color w:val="auto"/>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eastAsiaTheme="minorEastAsia"/>
                <w:color w:val="auto"/>
                <w:kern w:val="0"/>
                <w:szCs w:val="21"/>
                <w:lang w:eastAsia="zh-CN"/>
              </w:rPr>
            </w:pPr>
            <w:r>
              <w:rPr>
                <w:rFonts w:hint="eastAsia"/>
                <w:color w:val="auto"/>
                <w:kern w:val="0"/>
                <w:szCs w:val="21"/>
                <w:lang w:val="en-US" w:eastAsia="zh-CN"/>
              </w:rPr>
              <w:t>3</w:t>
            </w:r>
          </w:p>
        </w:tc>
        <w:tc>
          <w:tcPr>
            <w:tcW w:w="1403" w:type="pct"/>
            <w:tcMar>
              <w:left w:w="45" w:type="dxa"/>
              <w:right w:w="45" w:type="dxa"/>
            </w:tcMar>
            <w:vAlign w:val="center"/>
          </w:tcPr>
          <w:p>
            <w:pPr>
              <w:jc w:val="left"/>
              <w:rPr>
                <w:color w:val="auto"/>
                <w:kern w:val="0"/>
                <w:szCs w:val="21"/>
              </w:rPr>
            </w:pPr>
            <w:r>
              <w:rPr>
                <w:rFonts w:hint="eastAsia"/>
                <w:color w:val="auto"/>
                <w:kern w:val="0"/>
                <w:szCs w:val="21"/>
              </w:rPr>
              <w:t>剧毒化学品执行“五双”管理</w:t>
            </w:r>
            <w:r>
              <w:rPr>
                <w:rFonts w:hint="eastAsia"/>
                <w:bCs/>
                <w:color w:val="auto"/>
                <w:kern w:val="0"/>
                <w:szCs w:val="21"/>
              </w:rPr>
              <w:t>（即双人验收、双人保管、双人发货、双把锁、双本账）</w:t>
            </w:r>
            <w:r>
              <w:rPr>
                <w:rFonts w:hint="eastAsia"/>
                <w:color w:val="auto"/>
                <w:kern w:val="0"/>
                <w:szCs w:val="21"/>
              </w:rPr>
              <w:t>，技防措施符合管制要求</w:t>
            </w:r>
          </w:p>
        </w:tc>
        <w:tc>
          <w:tcPr>
            <w:tcW w:w="2993" w:type="pct"/>
            <w:tcMar>
              <w:left w:w="45" w:type="dxa"/>
              <w:right w:w="45" w:type="dxa"/>
            </w:tcMar>
            <w:vAlign w:val="center"/>
          </w:tcPr>
          <w:p>
            <w:pPr>
              <w:widowControl/>
              <w:numPr>
                <w:ilvl w:val="0"/>
                <w:numId w:val="0"/>
              </w:numPr>
              <w:jc w:val="left"/>
              <w:rPr>
                <w:color w:val="auto"/>
                <w:kern w:val="0"/>
                <w:szCs w:val="21"/>
              </w:rPr>
            </w:pPr>
            <w:r>
              <w:rPr>
                <w:rFonts w:hint="eastAsia"/>
                <w:color w:val="auto"/>
                <w:kern w:val="0"/>
                <w:szCs w:val="21"/>
                <w:lang w:val="en-US" w:eastAsia="zh-CN"/>
              </w:rPr>
              <w:t>1.</w:t>
            </w:r>
            <w:r>
              <w:rPr>
                <w:rFonts w:hint="eastAsia"/>
                <w:color w:val="auto"/>
                <w:kern w:val="0"/>
                <w:szCs w:val="21"/>
              </w:rPr>
              <w:t>单独存放、不得与易燃、易爆、腐蚀性物品等―起存放；</w:t>
            </w:r>
          </w:p>
          <w:p>
            <w:pPr>
              <w:widowControl/>
              <w:numPr>
                <w:ilvl w:val="0"/>
                <w:numId w:val="0"/>
              </w:numPr>
              <w:jc w:val="left"/>
              <w:rPr>
                <w:rFonts w:hint="eastAsia" w:eastAsiaTheme="minorEastAsia"/>
                <w:color w:val="auto"/>
                <w:kern w:val="0"/>
                <w:szCs w:val="21"/>
                <w:lang w:eastAsia="zh-CN"/>
              </w:rPr>
            </w:pPr>
            <w:r>
              <w:rPr>
                <w:rFonts w:hint="eastAsia"/>
                <w:color w:val="auto"/>
                <w:kern w:val="0"/>
                <w:szCs w:val="21"/>
                <w:lang w:val="en-US" w:eastAsia="zh-CN"/>
              </w:rPr>
              <w:t>2.</w:t>
            </w:r>
            <w:r>
              <w:rPr>
                <w:rFonts w:hint="eastAsia"/>
                <w:color w:val="auto"/>
                <w:kern w:val="0"/>
                <w:szCs w:val="21"/>
              </w:rPr>
              <w:t>有专人管理并做好贮存、领取、发放情况登记，登记资料至少保存</w:t>
            </w:r>
            <w:r>
              <w:rPr>
                <w:color w:val="auto"/>
                <w:kern w:val="0"/>
                <w:szCs w:val="21"/>
              </w:rPr>
              <w:t>1</w:t>
            </w:r>
            <w:r>
              <w:rPr>
                <w:rFonts w:hint="eastAsia"/>
                <w:color w:val="auto"/>
                <w:kern w:val="0"/>
                <w:szCs w:val="21"/>
              </w:rPr>
              <w:t>年</w:t>
            </w:r>
            <w:r>
              <w:rPr>
                <w:rFonts w:hint="eastAsia"/>
                <w:color w:val="auto"/>
                <w:kern w:val="0"/>
                <w:szCs w:val="21"/>
                <w:lang w:eastAsia="zh-CN"/>
              </w:rPr>
              <w:t>。</w:t>
            </w:r>
          </w:p>
        </w:tc>
        <w:tc>
          <w:tcPr>
            <w:tcW w:w="359" w:type="pct"/>
            <w:tcMar>
              <w:left w:w="45" w:type="dxa"/>
              <w:right w:w="45" w:type="dxa"/>
            </w:tcMar>
            <w:vAlign w:val="center"/>
          </w:tcPr>
          <w:p>
            <w:pPr>
              <w:jc w:val="center"/>
              <w:rPr>
                <w:bCs/>
                <w:color w:val="auto"/>
                <w:kern w:val="0"/>
                <w:szCs w:val="21"/>
              </w:rPr>
            </w:pPr>
            <w:r>
              <w:rPr>
                <w:color w:val="auto"/>
                <w:szCs w:val="21"/>
              </w:rPr>
              <w:t>12</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eastAsiaTheme="minorEastAsia"/>
                <w:color w:val="auto"/>
                <w:kern w:val="0"/>
                <w:szCs w:val="21"/>
                <w:lang w:eastAsia="zh-CN"/>
              </w:rPr>
            </w:pPr>
            <w:r>
              <w:rPr>
                <w:rFonts w:hint="eastAsia"/>
                <w:color w:val="auto"/>
                <w:kern w:val="0"/>
                <w:szCs w:val="21"/>
                <w:lang w:val="en-US" w:eastAsia="zh-CN"/>
              </w:rPr>
              <w:t>4</w:t>
            </w:r>
          </w:p>
        </w:tc>
        <w:tc>
          <w:tcPr>
            <w:tcW w:w="1403" w:type="pct"/>
            <w:tcMar>
              <w:left w:w="45" w:type="dxa"/>
              <w:right w:w="45" w:type="dxa"/>
            </w:tcMar>
            <w:vAlign w:val="center"/>
          </w:tcPr>
          <w:p>
            <w:pPr>
              <w:widowControl/>
              <w:jc w:val="left"/>
              <w:rPr>
                <w:color w:val="auto"/>
                <w:kern w:val="0"/>
                <w:szCs w:val="21"/>
              </w:rPr>
            </w:pPr>
            <w:r>
              <w:rPr>
                <w:rFonts w:hint="eastAsia"/>
                <w:color w:val="auto"/>
                <w:kern w:val="0"/>
                <w:szCs w:val="21"/>
              </w:rPr>
              <w:t>实验气体</w:t>
            </w:r>
            <w:r>
              <w:rPr>
                <w:rFonts w:hint="eastAsia"/>
                <w:color w:val="auto"/>
                <w:szCs w:val="21"/>
              </w:rPr>
              <w:t>购买程序合规</w:t>
            </w:r>
          </w:p>
        </w:tc>
        <w:tc>
          <w:tcPr>
            <w:tcW w:w="2993" w:type="pct"/>
            <w:tcMar>
              <w:left w:w="45" w:type="dxa"/>
              <w:right w:w="45" w:type="dxa"/>
            </w:tcMar>
            <w:vAlign w:val="center"/>
          </w:tcPr>
          <w:p>
            <w:pPr>
              <w:widowControl/>
              <w:jc w:val="left"/>
              <w:rPr>
                <w:bCs/>
                <w:color w:val="auto"/>
                <w:kern w:val="0"/>
                <w:szCs w:val="21"/>
              </w:rPr>
            </w:pPr>
            <w:r>
              <w:rPr>
                <w:rFonts w:hint="eastAsia"/>
                <w:bCs/>
                <w:color w:val="auto"/>
                <w:kern w:val="0"/>
                <w:szCs w:val="21"/>
              </w:rPr>
              <w:t>1.不得从未在学校报备的供应商处购买气体；</w:t>
            </w:r>
          </w:p>
          <w:p>
            <w:pPr>
              <w:widowControl/>
              <w:jc w:val="left"/>
              <w:rPr>
                <w:bCs/>
                <w:color w:val="auto"/>
                <w:kern w:val="0"/>
                <w:szCs w:val="21"/>
              </w:rPr>
            </w:pPr>
            <w:r>
              <w:rPr>
                <w:rFonts w:hint="eastAsia"/>
                <w:bCs/>
                <w:color w:val="auto"/>
                <w:kern w:val="0"/>
                <w:szCs w:val="21"/>
              </w:rPr>
              <w:t>2.不得私自拉运气瓶进校；</w:t>
            </w:r>
          </w:p>
          <w:p>
            <w:pPr>
              <w:widowControl/>
              <w:jc w:val="left"/>
              <w:rPr>
                <w:rFonts w:hint="eastAsia" w:eastAsiaTheme="minorEastAsia"/>
                <w:color w:val="auto"/>
                <w:kern w:val="0"/>
                <w:szCs w:val="21"/>
                <w:lang w:eastAsia="zh-CN"/>
              </w:rPr>
            </w:pPr>
            <w:r>
              <w:rPr>
                <w:rFonts w:hint="eastAsia"/>
                <w:bCs/>
                <w:color w:val="auto"/>
                <w:kern w:val="0"/>
                <w:szCs w:val="21"/>
              </w:rPr>
              <w:t>3.不得私自在设备附近增加钢瓶使用</w:t>
            </w:r>
            <w:r>
              <w:rPr>
                <w:rFonts w:hint="eastAsia"/>
                <w:bCs/>
                <w:color w:val="auto"/>
                <w:kern w:val="0"/>
                <w:szCs w:val="21"/>
                <w:lang w:eastAsia="zh-CN"/>
              </w:rPr>
              <w:t>。</w:t>
            </w:r>
          </w:p>
        </w:tc>
        <w:tc>
          <w:tcPr>
            <w:tcW w:w="359" w:type="pct"/>
            <w:tcMar>
              <w:left w:w="45" w:type="dxa"/>
              <w:right w:w="45" w:type="dxa"/>
            </w:tcMar>
            <w:vAlign w:val="center"/>
          </w:tcPr>
          <w:p>
            <w:pPr>
              <w:widowControl/>
              <w:jc w:val="center"/>
              <w:rPr>
                <w:color w:val="auto"/>
                <w:szCs w:val="21"/>
              </w:rPr>
            </w:pPr>
            <w:r>
              <w:rPr>
                <w:bCs/>
                <w:color w:val="auto"/>
                <w:kern w:val="0"/>
                <w:szCs w:val="21"/>
              </w:rPr>
              <w:t>12</w:t>
            </w:r>
            <w:r>
              <w:rPr>
                <w:rFonts w:hint="eastAsia"/>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jc w:val="center"/>
              <w:rPr>
                <w:rFonts w:hint="eastAsia" w:eastAsiaTheme="minorEastAsia"/>
                <w:color w:val="auto"/>
                <w:kern w:val="0"/>
                <w:szCs w:val="21"/>
                <w:lang w:val="en-US" w:eastAsia="zh-CN"/>
              </w:rPr>
            </w:pPr>
            <w:r>
              <w:rPr>
                <w:rFonts w:hint="eastAsia" w:eastAsia="黑体"/>
                <w:bCs/>
                <w:color w:val="auto"/>
                <w:kern w:val="0"/>
                <w:szCs w:val="21"/>
                <w:lang w:val="en-US" w:eastAsia="zh-CN"/>
              </w:rPr>
              <w:t>5</w:t>
            </w:r>
          </w:p>
        </w:tc>
        <w:tc>
          <w:tcPr>
            <w:tcW w:w="1403" w:type="pct"/>
            <w:tcMar>
              <w:left w:w="45" w:type="dxa"/>
              <w:right w:w="45" w:type="dxa"/>
            </w:tcMar>
            <w:vAlign w:val="center"/>
          </w:tcPr>
          <w:p>
            <w:pPr>
              <w:widowControl/>
              <w:jc w:val="left"/>
              <w:rPr>
                <w:rFonts w:hint="eastAsia"/>
                <w:color w:val="auto"/>
                <w:kern w:val="0"/>
                <w:szCs w:val="21"/>
              </w:rPr>
            </w:pPr>
            <w:r>
              <w:rPr>
                <w:rFonts w:hint="eastAsia"/>
                <w:color w:val="auto"/>
                <w:szCs w:val="21"/>
              </w:rPr>
              <w:t>吸烟</w:t>
            </w:r>
          </w:p>
        </w:tc>
        <w:tc>
          <w:tcPr>
            <w:tcW w:w="2993" w:type="pct"/>
            <w:tcMar>
              <w:left w:w="45" w:type="dxa"/>
              <w:right w:w="45" w:type="dxa"/>
            </w:tcMar>
            <w:vAlign w:val="center"/>
          </w:tcPr>
          <w:p>
            <w:pPr>
              <w:widowControl/>
              <w:jc w:val="left"/>
              <w:rPr>
                <w:rFonts w:hint="eastAsia" w:eastAsiaTheme="minorEastAsia"/>
                <w:bCs/>
                <w:color w:val="auto"/>
                <w:kern w:val="0"/>
                <w:szCs w:val="21"/>
                <w:lang w:eastAsia="zh-CN"/>
              </w:rPr>
            </w:pPr>
            <w:r>
              <w:rPr>
                <w:rFonts w:hint="eastAsia"/>
                <w:color w:val="auto"/>
                <w:szCs w:val="21"/>
              </w:rPr>
              <w:t>中心任何室内区域</w:t>
            </w:r>
            <w:r>
              <w:rPr>
                <w:rFonts w:hint="eastAsia"/>
                <w:color w:val="auto"/>
                <w:szCs w:val="21"/>
                <w:lang w:val="en-US" w:eastAsia="zh-CN"/>
              </w:rPr>
              <w:t>吸</w:t>
            </w:r>
            <w:r>
              <w:rPr>
                <w:rFonts w:hint="eastAsia"/>
                <w:color w:val="auto"/>
                <w:szCs w:val="21"/>
              </w:rPr>
              <w:t>烟</w:t>
            </w:r>
            <w:r>
              <w:rPr>
                <w:rFonts w:hint="eastAsia"/>
                <w:color w:val="auto"/>
                <w:szCs w:val="21"/>
                <w:lang w:eastAsia="zh-CN"/>
              </w:rPr>
              <w:t>。</w:t>
            </w:r>
          </w:p>
        </w:tc>
        <w:tc>
          <w:tcPr>
            <w:tcW w:w="359" w:type="pct"/>
            <w:tcMar>
              <w:left w:w="45" w:type="dxa"/>
              <w:right w:w="45" w:type="dxa"/>
            </w:tcMar>
            <w:vAlign w:val="center"/>
          </w:tcPr>
          <w:p>
            <w:pPr>
              <w:widowControl/>
              <w:jc w:val="center"/>
              <w:rPr>
                <w:bCs/>
                <w:color w:val="auto"/>
                <w:kern w:val="0"/>
                <w:szCs w:val="21"/>
              </w:rPr>
            </w:pPr>
            <w:r>
              <w:rPr>
                <w:rFonts w:hint="eastAsia"/>
                <w:color w:val="auto"/>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color w:val="auto"/>
                <w:kern w:val="0"/>
                <w:szCs w:val="21"/>
                <w:lang w:val="en-US" w:eastAsia="zh-CN"/>
              </w:rPr>
            </w:pPr>
            <w:r>
              <w:rPr>
                <w:rFonts w:hint="eastAsia" w:eastAsia="黑体"/>
                <w:color w:val="auto"/>
                <w:kern w:val="0"/>
                <w:szCs w:val="21"/>
                <w:lang w:val="en-US" w:eastAsia="zh-CN"/>
              </w:rPr>
              <w:t>6</w:t>
            </w:r>
          </w:p>
        </w:tc>
        <w:tc>
          <w:tcPr>
            <w:tcW w:w="1403" w:type="pct"/>
            <w:tcMar>
              <w:left w:w="45" w:type="dxa"/>
              <w:right w:w="45" w:type="dxa"/>
            </w:tcMar>
            <w:vAlign w:val="center"/>
          </w:tcPr>
          <w:p>
            <w:pPr>
              <w:widowControl/>
              <w:jc w:val="left"/>
              <w:rPr>
                <w:rFonts w:hint="eastAsia"/>
                <w:color w:val="auto"/>
                <w:kern w:val="0"/>
                <w:szCs w:val="21"/>
              </w:rPr>
            </w:pPr>
            <w:r>
              <w:rPr>
                <w:rFonts w:hint="eastAsia"/>
                <w:color w:val="auto"/>
                <w:szCs w:val="21"/>
              </w:rPr>
              <w:t>电动车、电动车电源等充电</w:t>
            </w:r>
          </w:p>
        </w:tc>
        <w:tc>
          <w:tcPr>
            <w:tcW w:w="2993" w:type="pct"/>
            <w:tcMar>
              <w:left w:w="45" w:type="dxa"/>
              <w:right w:w="45" w:type="dxa"/>
            </w:tcMar>
            <w:vAlign w:val="center"/>
          </w:tcPr>
          <w:p>
            <w:pPr>
              <w:widowControl/>
              <w:jc w:val="left"/>
              <w:rPr>
                <w:rFonts w:hint="eastAsia"/>
                <w:bCs/>
                <w:color w:val="auto"/>
                <w:kern w:val="0"/>
                <w:szCs w:val="21"/>
              </w:rPr>
            </w:pPr>
            <w:r>
              <w:rPr>
                <w:rFonts w:hint="eastAsia"/>
                <w:color w:val="auto"/>
                <w:szCs w:val="21"/>
              </w:rPr>
              <w:t>实验室不存放电动车（电池）。</w:t>
            </w:r>
          </w:p>
        </w:tc>
        <w:tc>
          <w:tcPr>
            <w:tcW w:w="359" w:type="pct"/>
            <w:tcMar>
              <w:left w:w="45" w:type="dxa"/>
              <w:right w:w="45" w:type="dxa"/>
            </w:tcMar>
            <w:vAlign w:val="center"/>
          </w:tcPr>
          <w:p>
            <w:pPr>
              <w:widowControl/>
              <w:jc w:val="center"/>
              <w:rPr>
                <w:bCs/>
                <w:color w:val="auto"/>
                <w:kern w:val="0"/>
                <w:szCs w:val="21"/>
              </w:rPr>
            </w:pPr>
            <w:r>
              <w:rPr>
                <w:rFonts w:hint="eastAsia"/>
                <w:color w:val="auto"/>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eastAsia="黑体"/>
                <w:color w:val="auto"/>
                <w:kern w:val="0"/>
                <w:szCs w:val="21"/>
                <w:lang w:val="en-US" w:eastAsia="zh-CN"/>
              </w:rPr>
            </w:pPr>
            <w:r>
              <w:rPr>
                <w:rFonts w:hint="eastAsia" w:eastAsia="黑体"/>
                <w:color w:val="auto"/>
                <w:kern w:val="0"/>
                <w:szCs w:val="21"/>
                <w:lang w:val="en-US" w:eastAsia="zh-CN"/>
              </w:rPr>
              <w:t>7</w:t>
            </w:r>
          </w:p>
        </w:tc>
        <w:tc>
          <w:tcPr>
            <w:tcW w:w="1403" w:type="pct"/>
            <w:tcMar>
              <w:left w:w="45" w:type="dxa"/>
              <w:right w:w="45" w:type="dxa"/>
            </w:tcMar>
            <w:vAlign w:val="center"/>
          </w:tcPr>
          <w:p>
            <w:pPr>
              <w:keepNext w:val="0"/>
              <w:keepLines w:val="0"/>
              <w:widowControl/>
              <w:suppressLineNumbers w:val="0"/>
              <w:jc w:val="left"/>
              <w:rPr>
                <w:rFonts w:hint="eastAsia"/>
                <w:color w:val="auto"/>
                <w:szCs w:val="21"/>
              </w:rPr>
            </w:pPr>
            <w:r>
              <w:rPr>
                <w:rFonts w:hint="eastAsia"/>
                <w:color w:val="auto"/>
                <w:szCs w:val="21"/>
                <w:lang w:val="en-US" w:eastAsia="zh-CN"/>
              </w:rPr>
              <w:t>进行与学习、科研无关的活动</w:t>
            </w:r>
          </w:p>
        </w:tc>
        <w:tc>
          <w:tcPr>
            <w:tcW w:w="2993" w:type="pct"/>
            <w:tcMar>
              <w:left w:w="45" w:type="dxa"/>
              <w:right w:w="45" w:type="dxa"/>
            </w:tcMar>
            <w:vAlign w:val="center"/>
          </w:tcPr>
          <w:p>
            <w:pPr>
              <w:widowControl/>
              <w:jc w:val="left"/>
              <w:rPr>
                <w:rFonts w:hint="eastAsia"/>
                <w:color w:val="auto"/>
                <w:szCs w:val="21"/>
              </w:rPr>
            </w:pPr>
            <w:r>
              <w:rPr>
                <w:rFonts w:hint="eastAsia"/>
                <w:color w:val="auto"/>
                <w:szCs w:val="21"/>
                <w:lang w:val="en-US" w:eastAsia="zh-CN"/>
              </w:rPr>
              <w:t>在中心通过手机或电脑打游戏、看电影/电视剧、炒股、打牌等</w:t>
            </w:r>
          </w:p>
        </w:tc>
        <w:tc>
          <w:tcPr>
            <w:tcW w:w="359" w:type="pct"/>
            <w:tcMar>
              <w:left w:w="45" w:type="dxa"/>
              <w:right w:w="45" w:type="dxa"/>
            </w:tcMar>
            <w:vAlign w:val="center"/>
          </w:tcPr>
          <w:p>
            <w:pPr>
              <w:widowControl/>
              <w:jc w:val="center"/>
              <w:rPr>
                <w:rFonts w:hint="default" w:eastAsiaTheme="minorEastAsia"/>
                <w:color w:val="auto"/>
                <w:szCs w:val="21"/>
                <w:lang w:val="en-US" w:eastAsia="zh-CN"/>
              </w:rPr>
            </w:pPr>
            <w:r>
              <w:rPr>
                <w:rFonts w:hint="eastAsia"/>
                <w:color w:val="auto"/>
                <w:szCs w:val="21"/>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eastAsiaTheme="minorEastAsia"/>
                <w:kern w:val="0"/>
                <w:szCs w:val="21"/>
                <w:lang w:val="en-US" w:eastAsia="zh-CN"/>
              </w:rPr>
            </w:pPr>
            <w:r>
              <w:rPr>
                <w:rFonts w:hint="eastAsia"/>
                <w:kern w:val="0"/>
                <w:szCs w:val="21"/>
                <w:lang w:val="en-US" w:eastAsia="zh-CN"/>
              </w:rPr>
              <w:t>8</w:t>
            </w:r>
          </w:p>
        </w:tc>
        <w:tc>
          <w:tcPr>
            <w:tcW w:w="1403" w:type="pct"/>
            <w:tcMar>
              <w:left w:w="45" w:type="dxa"/>
              <w:right w:w="45" w:type="dxa"/>
            </w:tcMar>
            <w:vAlign w:val="center"/>
          </w:tcPr>
          <w:p>
            <w:pPr>
              <w:widowControl/>
              <w:jc w:val="left"/>
              <w:rPr>
                <w:bCs/>
                <w:kern w:val="0"/>
                <w:szCs w:val="21"/>
              </w:rPr>
            </w:pPr>
            <w:r>
              <w:rPr>
                <w:rFonts w:hint="eastAsia"/>
                <w:color w:val="000000"/>
                <w:szCs w:val="21"/>
              </w:rPr>
              <w:t>人员准入</w:t>
            </w:r>
          </w:p>
        </w:tc>
        <w:tc>
          <w:tcPr>
            <w:tcW w:w="2993" w:type="pct"/>
            <w:tcMar>
              <w:left w:w="45" w:type="dxa"/>
              <w:right w:w="45" w:type="dxa"/>
            </w:tcMar>
            <w:vAlign w:val="center"/>
          </w:tcPr>
          <w:p>
            <w:pPr>
              <w:widowControl/>
              <w:jc w:val="left"/>
              <w:rPr>
                <w:rFonts w:hint="eastAsia" w:eastAsiaTheme="minorEastAsia"/>
                <w:bCs/>
                <w:kern w:val="0"/>
                <w:szCs w:val="21"/>
                <w:lang w:eastAsia="zh-CN"/>
              </w:rPr>
            </w:pPr>
            <w:r>
              <w:rPr>
                <w:rFonts w:hint="eastAsia"/>
                <w:color w:val="000000"/>
                <w:szCs w:val="21"/>
              </w:rPr>
              <w:t>1.实验人员进入实验室前进行安全培训，通过学校考核，签署安全承诺书；</w:t>
            </w:r>
            <w:r>
              <w:rPr>
                <w:rFonts w:hint="eastAsia"/>
                <w:color w:val="000000"/>
                <w:szCs w:val="21"/>
              </w:rPr>
              <w:br w:type="textWrapping"/>
            </w:r>
            <w:r>
              <w:rPr>
                <w:rFonts w:hint="eastAsia"/>
                <w:color w:val="000000"/>
                <w:szCs w:val="21"/>
              </w:rPr>
              <w:t>2.未经中心实验室同意，私自带外单位人员进入实验室；</w:t>
            </w:r>
            <w:r>
              <w:rPr>
                <w:rFonts w:hint="eastAsia"/>
                <w:color w:val="000000"/>
                <w:szCs w:val="21"/>
              </w:rPr>
              <w:br w:type="textWrapping"/>
            </w:r>
            <w:r>
              <w:rPr>
                <w:rFonts w:hint="eastAsia"/>
                <w:color w:val="000000"/>
                <w:szCs w:val="21"/>
              </w:rPr>
              <w:t>3.未进行假期使用报备</w:t>
            </w:r>
            <w:r>
              <w:rPr>
                <w:rFonts w:hint="eastAsia"/>
                <w:color w:val="000000"/>
                <w:szCs w:val="21"/>
                <w:lang w:eastAsia="zh-CN"/>
              </w:rPr>
              <w:t>。</w:t>
            </w:r>
          </w:p>
        </w:tc>
        <w:tc>
          <w:tcPr>
            <w:tcW w:w="359" w:type="pct"/>
            <w:tcMar>
              <w:left w:w="45" w:type="dxa"/>
              <w:right w:w="45" w:type="dxa"/>
            </w:tcMar>
            <w:vAlign w:val="center"/>
          </w:tcPr>
          <w:p>
            <w:pPr>
              <w:widowControl/>
              <w:jc w:val="center"/>
              <w:rPr>
                <w:bCs/>
                <w:kern w:val="0"/>
                <w:szCs w:val="21"/>
              </w:rPr>
            </w:pPr>
            <w:r>
              <w:rPr>
                <w:rFonts w:ascii="Calibri" w:hAnsi="Calibri" w:eastAsia="等线" w:cs="Calibri"/>
                <w:color w:val="000000"/>
                <w:szCs w:val="21"/>
              </w:rPr>
              <w:t>6</w:t>
            </w:r>
            <w:r>
              <w:rPr>
                <w:rFonts w:hint="eastAsia" w:cs="Calibri"/>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kern w:val="0"/>
                <w:szCs w:val="21"/>
                <w:lang w:val="en-US" w:eastAsia="zh-CN"/>
              </w:rPr>
            </w:pPr>
            <w:r>
              <w:rPr>
                <w:rFonts w:hint="eastAsia"/>
                <w:kern w:val="0"/>
                <w:szCs w:val="21"/>
                <w:lang w:val="en-US" w:eastAsia="zh-CN"/>
              </w:rPr>
              <w:t>9</w:t>
            </w:r>
          </w:p>
        </w:tc>
        <w:tc>
          <w:tcPr>
            <w:tcW w:w="1403" w:type="pct"/>
            <w:tcMar>
              <w:left w:w="45" w:type="dxa"/>
              <w:right w:w="45" w:type="dxa"/>
            </w:tcMar>
            <w:vAlign w:val="center"/>
          </w:tcPr>
          <w:p>
            <w:pPr>
              <w:widowControl/>
              <w:jc w:val="left"/>
              <w:rPr>
                <w:rFonts w:hint="eastAsia"/>
                <w:color w:val="000000"/>
                <w:szCs w:val="21"/>
              </w:rPr>
            </w:pPr>
            <w:r>
              <w:rPr>
                <w:rFonts w:hint="eastAsia"/>
                <w:kern w:val="0"/>
                <w:szCs w:val="21"/>
              </w:rPr>
              <w:t>危险性实验（如高温、高压、高速运转等）</w:t>
            </w:r>
          </w:p>
        </w:tc>
        <w:tc>
          <w:tcPr>
            <w:tcW w:w="2993" w:type="pct"/>
            <w:tcMar>
              <w:left w:w="45" w:type="dxa"/>
              <w:right w:w="45" w:type="dxa"/>
            </w:tcMar>
            <w:vAlign w:val="center"/>
          </w:tcPr>
          <w:p>
            <w:pPr>
              <w:widowControl/>
              <w:jc w:val="left"/>
              <w:rPr>
                <w:rFonts w:hint="eastAsia"/>
                <w:color w:val="000000"/>
                <w:szCs w:val="21"/>
              </w:rPr>
            </w:pPr>
            <w:r>
              <w:rPr>
                <w:rFonts w:hint="eastAsia"/>
                <w:color w:val="000000"/>
                <w:szCs w:val="21"/>
              </w:rPr>
              <w:t>1.事先审批制度；</w:t>
            </w:r>
            <w:r>
              <w:rPr>
                <w:rFonts w:hint="eastAsia"/>
                <w:color w:val="000000"/>
                <w:szCs w:val="21"/>
              </w:rPr>
              <w:br w:type="textWrapping"/>
            </w:r>
            <w:r>
              <w:rPr>
                <w:rFonts w:hint="eastAsia"/>
                <w:color w:val="000000"/>
                <w:szCs w:val="21"/>
              </w:rPr>
              <w:t>2.实验时不能脱岗，通宵实验须</w:t>
            </w:r>
            <w:r>
              <w:rPr>
                <w:rFonts w:hint="eastAsia"/>
                <w:color w:val="000000"/>
                <w:szCs w:val="21"/>
                <w:lang w:val="en-US" w:eastAsia="zh-CN"/>
              </w:rPr>
              <w:t>须审批且</w:t>
            </w:r>
            <w:r>
              <w:rPr>
                <w:rFonts w:hint="eastAsia"/>
                <w:color w:val="000000"/>
                <w:szCs w:val="21"/>
              </w:rPr>
              <w:t>两人在场</w:t>
            </w:r>
            <w:r>
              <w:rPr>
                <w:rFonts w:hint="eastAsia"/>
                <w:color w:val="000000"/>
                <w:szCs w:val="21"/>
                <w:lang w:eastAsia="zh-CN"/>
              </w:rPr>
              <w:t>。</w:t>
            </w:r>
          </w:p>
        </w:tc>
        <w:tc>
          <w:tcPr>
            <w:tcW w:w="359" w:type="pct"/>
            <w:tcMar>
              <w:left w:w="45" w:type="dxa"/>
              <w:right w:w="45" w:type="dxa"/>
            </w:tcMar>
            <w:vAlign w:val="center"/>
          </w:tcPr>
          <w:p>
            <w:pPr>
              <w:jc w:val="center"/>
              <w:rPr>
                <w:rFonts w:ascii="Calibri" w:hAnsi="Calibri" w:eastAsia="等线" w:cs="Calibri"/>
                <w:color w:val="000000"/>
                <w:szCs w:val="21"/>
              </w:rPr>
            </w:pPr>
            <w:r>
              <w:rPr>
                <w:bCs/>
                <w:szCs w:val="21"/>
              </w:rPr>
              <w:t>6</w:t>
            </w:r>
            <w:r>
              <w:rPr>
                <w:rFonts w:hint="eastAsia"/>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10</w:t>
            </w:r>
          </w:p>
        </w:tc>
        <w:tc>
          <w:tcPr>
            <w:tcW w:w="1403" w:type="pct"/>
            <w:tcMar>
              <w:left w:w="45" w:type="dxa"/>
              <w:right w:w="45" w:type="dxa"/>
            </w:tcMar>
            <w:vAlign w:val="center"/>
          </w:tcPr>
          <w:p>
            <w:pPr>
              <w:jc w:val="left"/>
              <w:rPr>
                <w:rFonts w:hint="eastAsia"/>
                <w:color w:val="000000"/>
                <w:szCs w:val="21"/>
              </w:rPr>
            </w:pPr>
            <w:r>
              <w:rPr>
                <w:rFonts w:hint="eastAsia"/>
                <w:kern w:val="0"/>
                <w:szCs w:val="21"/>
              </w:rPr>
              <w:t>危险化学品采购需要符合要求</w:t>
            </w:r>
          </w:p>
        </w:tc>
        <w:tc>
          <w:tcPr>
            <w:tcW w:w="2993" w:type="pct"/>
            <w:tcMar>
              <w:left w:w="45" w:type="dxa"/>
              <w:right w:w="45" w:type="dxa"/>
            </w:tcMar>
            <w:vAlign w:val="center"/>
          </w:tcPr>
          <w:p>
            <w:pPr>
              <w:jc w:val="left"/>
              <w:rPr>
                <w:kern w:val="0"/>
                <w:szCs w:val="21"/>
              </w:rPr>
            </w:pPr>
            <w:r>
              <w:rPr>
                <w:rFonts w:hint="eastAsia"/>
                <w:kern w:val="0"/>
                <w:szCs w:val="21"/>
              </w:rPr>
              <w:t>1.危险化学品需向具有生产经营许可资质的单位进行购买；</w:t>
            </w:r>
          </w:p>
          <w:p>
            <w:pPr>
              <w:jc w:val="left"/>
              <w:rPr>
                <w:kern w:val="0"/>
                <w:szCs w:val="21"/>
              </w:rPr>
            </w:pPr>
            <w:r>
              <w:rPr>
                <w:rFonts w:hint="eastAsia"/>
                <w:kern w:val="0"/>
                <w:szCs w:val="21"/>
              </w:rPr>
              <w:t>2.购买化学品需在学校危化品系统登记报备；</w:t>
            </w:r>
          </w:p>
          <w:p>
            <w:pPr>
              <w:jc w:val="left"/>
              <w:rPr>
                <w:rFonts w:hint="eastAsia"/>
                <w:color w:val="000000"/>
                <w:szCs w:val="21"/>
              </w:rPr>
            </w:pPr>
            <w:r>
              <w:rPr>
                <w:rFonts w:hint="eastAsia"/>
                <w:kern w:val="0"/>
                <w:szCs w:val="21"/>
              </w:rPr>
              <w:t>3.一次领用量不不宜过多（同类一次最多一瓶），随用随领，及时归还</w:t>
            </w:r>
            <w:r>
              <w:rPr>
                <w:rFonts w:hint="eastAsia"/>
                <w:kern w:val="0"/>
                <w:szCs w:val="21"/>
                <w:lang w:eastAsia="zh-CN"/>
              </w:rPr>
              <w:t>。</w:t>
            </w:r>
          </w:p>
        </w:tc>
        <w:tc>
          <w:tcPr>
            <w:tcW w:w="359" w:type="pct"/>
            <w:tcMar>
              <w:left w:w="45" w:type="dxa"/>
              <w:right w:w="45" w:type="dxa"/>
            </w:tcMar>
            <w:vAlign w:val="center"/>
          </w:tcPr>
          <w:p>
            <w:pPr>
              <w:jc w:val="center"/>
              <w:rPr>
                <w:rFonts w:ascii="Calibri" w:hAnsi="Calibri" w:eastAsia="等线" w:cs="Calibri"/>
                <w:color w:val="000000"/>
                <w:szCs w:val="21"/>
              </w:rPr>
            </w:pPr>
            <w:r>
              <w:rPr>
                <w:szCs w:val="21"/>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kern w:val="0"/>
                <w:szCs w:val="21"/>
                <w:lang w:val="en-US" w:eastAsia="zh-CN"/>
              </w:rPr>
            </w:pPr>
            <w:r>
              <w:rPr>
                <w:rFonts w:hint="eastAsia"/>
                <w:kern w:val="0"/>
                <w:szCs w:val="21"/>
                <w:lang w:val="en-US" w:eastAsia="zh-CN"/>
              </w:rPr>
              <w:t>11</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实验室内存放的危险化学品总量符合规定要求</w:t>
            </w:r>
          </w:p>
        </w:tc>
        <w:tc>
          <w:tcPr>
            <w:tcW w:w="2993" w:type="pct"/>
            <w:tcMar>
              <w:left w:w="45" w:type="dxa"/>
              <w:right w:w="45" w:type="dxa"/>
            </w:tcMar>
            <w:vAlign w:val="center"/>
          </w:tcPr>
          <w:p>
            <w:pPr>
              <w:widowControl/>
              <w:rPr>
                <w:rFonts w:hint="eastAsia"/>
                <w:kern w:val="0"/>
                <w:szCs w:val="21"/>
              </w:rPr>
            </w:pPr>
            <w:r>
              <w:rPr>
                <w:rFonts w:hint="eastAsia"/>
                <w:color w:val="000000"/>
                <w:szCs w:val="21"/>
              </w:rPr>
              <w:t>1.不应超过</w:t>
            </w:r>
            <w:r>
              <w:rPr>
                <w:rFonts w:ascii="Calibri" w:hAnsi="Calibri" w:cs="Calibri"/>
                <w:color w:val="000000"/>
                <w:szCs w:val="21"/>
              </w:rPr>
              <w:t>100</w:t>
            </w:r>
            <w:r>
              <w:rPr>
                <w:rFonts w:hint="eastAsia"/>
                <w:color w:val="000000"/>
                <w:szCs w:val="21"/>
              </w:rPr>
              <w:t>公升或</w:t>
            </w:r>
            <w:r>
              <w:rPr>
                <w:rFonts w:ascii="Calibri" w:hAnsi="Calibri" w:cs="Calibri"/>
                <w:color w:val="000000"/>
                <w:szCs w:val="21"/>
              </w:rPr>
              <w:t>100</w:t>
            </w:r>
            <w:r>
              <w:rPr>
                <w:rFonts w:hint="eastAsia"/>
                <w:color w:val="000000"/>
                <w:szCs w:val="21"/>
              </w:rPr>
              <w:t>千克，其中易燃易爆性化学品的存放总量不应超过</w:t>
            </w:r>
            <w:r>
              <w:rPr>
                <w:rFonts w:ascii="Calibri" w:hAnsi="Calibri" w:cs="Calibri"/>
                <w:color w:val="000000"/>
                <w:szCs w:val="21"/>
              </w:rPr>
              <w:t>50</w:t>
            </w:r>
            <w:r>
              <w:rPr>
                <w:rFonts w:hint="eastAsia"/>
                <w:color w:val="000000"/>
                <w:szCs w:val="21"/>
              </w:rPr>
              <w:t>公升或</w:t>
            </w:r>
            <w:r>
              <w:rPr>
                <w:rFonts w:ascii="Calibri" w:hAnsi="Calibri" w:cs="Calibri"/>
                <w:color w:val="000000"/>
                <w:szCs w:val="21"/>
              </w:rPr>
              <w:t>50</w:t>
            </w:r>
            <w:r>
              <w:rPr>
                <w:rFonts w:hint="eastAsia"/>
                <w:color w:val="000000"/>
                <w:szCs w:val="21"/>
              </w:rPr>
              <w:t>千克，且单一包装容器不应大于</w:t>
            </w:r>
            <w:r>
              <w:rPr>
                <w:rFonts w:ascii="Calibri" w:hAnsi="Calibri" w:cs="Calibri"/>
                <w:color w:val="000000"/>
                <w:szCs w:val="21"/>
              </w:rPr>
              <w:t>20</w:t>
            </w:r>
            <w:r>
              <w:rPr>
                <w:rFonts w:hint="eastAsia"/>
                <w:color w:val="000000"/>
                <w:szCs w:val="21"/>
              </w:rPr>
              <w:t>公升或</w:t>
            </w:r>
            <w:r>
              <w:rPr>
                <w:rFonts w:ascii="Calibri" w:hAnsi="Calibri" w:cs="Calibri"/>
                <w:color w:val="000000"/>
                <w:szCs w:val="21"/>
              </w:rPr>
              <w:t>20</w:t>
            </w:r>
            <w:r>
              <w:rPr>
                <w:rFonts w:hint="eastAsia"/>
                <w:color w:val="000000"/>
                <w:szCs w:val="21"/>
              </w:rPr>
              <w:t>千克（可按</w:t>
            </w:r>
            <w:r>
              <w:rPr>
                <w:rFonts w:ascii="Calibri" w:hAnsi="Calibri" w:cs="Calibri"/>
                <w:color w:val="000000"/>
                <w:szCs w:val="21"/>
              </w:rPr>
              <w:t>50</w:t>
            </w:r>
            <w:r>
              <w:rPr>
                <w:rFonts w:hint="eastAsia"/>
                <w:color w:val="000000"/>
                <w:szCs w:val="21"/>
              </w:rPr>
              <w:t>平方米为标准，存放量以实验室面积比考察）；</w:t>
            </w:r>
            <w:r>
              <w:rPr>
                <w:rFonts w:hint="eastAsia"/>
                <w:color w:val="000000"/>
                <w:szCs w:val="21"/>
              </w:rPr>
              <w:br w:type="textWrapping"/>
            </w:r>
            <w:r>
              <w:rPr>
                <w:rFonts w:hint="eastAsia"/>
                <w:color w:val="000000"/>
                <w:szCs w:val="21"/>
              </w:rPr>
              <w:t>2.单个实验装置存在</w:t>
            </w:r>
            <w:r>
              <w:rPr>
                <w:rFonts w:ascii="Calibri" w:hAnsi="Calibri" w:cs="Calibri"/>
                <w:color w:val="000000"/>
                <w:szCs w:val="21"/>
              </w:rPr>
              <w:t>10</w:t>
            </w:r>
            <w:r>
              <w:rPr>
                <w:rFonts w:hint="eastAsia"/>
                <w:color w:val="000000"/>
                <w:szCs w:val="21"/>
              </w:rPr>
              <w:t>公升以上甲类物质储罐，或</w:t>
            </w:r>
            <w:r>
              <w:rPr>
                <w:rFonts w:ascii="Calibri" w:hAnsi="Calibri" w:cs="Calibri"/>
                <w:color w:val="000000"/>
                <w:szCs w:val="21"/>
              </w:rPr>
              <w:t>20</w:t>
            </w:r>
            <w:r>
              <w:rPr>
                <w:rFonts w:hint="eastAsia"/>
                <w:color w:val="000000"/>
                <w:szCs w:val="21"/>
              </w:rPr>
              <w:t>公升以上乙类物质储罐，或</w:t>
            </w:r>
            <w:r>
              <w:rPr>
                <w:rFonts w:ascii="Calibri" w:hAnsi="Calibri" w:cs="Calibri"/>
                <w:color w:val="000000"/>
                <w:szCs w:val="21"/>
              </w:rPr>
              <w:t>50</w:t>
            </w:r>
            <w:r>
              <w:rPr>
                <w:rFonts w:hint="eastAsia"/>
                <w:color w:val="000000"/>
                <w:szCs w:val="21"/>
              </w:rPr>
              <w:t>公升以上丙类物质储罐，需加装泄露报警器及通风联动装置。可按</w:t>
            </w:r>
            <w:r>
              <w:rPr>
                <w:rFonts w:ascii="Calibri" w:hAnsi="Calibri" w:cs="Calibri"/>
                <w:color w:val="000000"/>
                <w:szCs w:val="21"/>
              </w:rPr>
              <w:t>50</w:t>
            </w:r>
            <w:r>
              <w:rPr>
                <w:rFonts w:hint="eastAsia"/>
                <w:color w:val="000000"/>
                <w:szCs w:val="21"/>
              </w:rPr>
              <w:t>平方米为标准，存放量以实验室面积比考察</w:t>
            </w:r>
            <w:r>
              <w:rPr>
                <w:rFonts w:hint="eastAsia"/>
                <w:color w:val="000000"/>
                <w:szCs w:val="21"/>
                <w:lang w:eastAsia="zh-CN"/>
              </w:rPr>
              <w:t>。</w:t>
            </w:r>
          </w:p>
        </w:tc>
        <w:tc>
          <w:tcPr>
            <w:tcW w:w="359" w:type="pct"/>
            <w:tcMar>
              <w:left w:w="45" w:type="dxa"/>
              <w:right w:w="45" w:type="dxa"/>
            </w:tcMar>
            <w:vAlign w:val="center"/>
          </w:tcPr>
          <w:p>
            <w:pPr>
              <w:jc w:val="center"/>
              <w:rPr>
                <w:szCs w:val="21"/>
              </w:rPr>
            </w:pPr>
            <w:r>
              <w:rPr>
                <w:szCs w:val="21"/>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kern w:val="0"/>
                <w:szCs w:val="21"/>
                <w:lang w:val="en-US" w:eastAsia="zh-CN"/>
              </w:rPr>
            </w:pPr>
            <w:r>
              <w:rPr>
                <w:rFonts w:hint="eastAsia"/>
                <w:kern w:val="0"/>
                <w:szCs w:val="21"/>
                <w:lang w:val="en-US" w:eastAsia="zh-CN"/>
              </w:rPr>
              <w:t>12</w:t>
            </w:r>
          </w:p>
        </w:tc>
        <w:tc>
          <w:tcPr>
            <w:tcW w:w="1403" w:type="pct"/>
            <w:tcMar>
              <w:left w:w="45" w:type="dxa"/>
              <w:right w:w="45" w:type="dxa"/>
            </w:tcMar>
            <w:vAlign w:val="center"/>
          </w:tcPr>
          <w:p>
            <w:pPr>
              <w:jc w:val="left"/>
              <w:rPr>
                <w:rFonts w:hint="eastAsia"/>
                <w:kern w:val="0"/>
                <w:szCs w:val="21"/>
              </w:rPr>
            </w:pPr>
            <w:r>
              <w:rPr>
                <w:rFonts w:hint="eastAsia"/>
                <w:kern w:val="0"/>
                <w:szCs w:val="21"/>
              </w:rPr>
              <w:t>易制爆化学品存量合规、双人双锁</w:t>
            </w:r>
          </w:p>
        </w:tc>
        <w:tc>
          <w:tcPr>
            <w:tcW w:w="2993" w:type="pct"/>
            <w:tcMar>
              <w:left w:w="45" w:type="dxa"/>
              <w:right w:w="45" w:type="dxa"/>
            </w:tcMar>
            <w:vAlign w:val="center"/>
          </w:tcPr>
          <w:p>
            <w:pPr>
              <w:widowControl/>
              <w:jc w:val="left"/>
              <w:rPr>
                <w:rFonts w:hint="eastAsia"/>
                <w:kern w:val="0"/>
                <w:szCs w:val="21"/>
              </w:rPr>
            </w:pPr>
            <w:r>
              <w:rPr>
                <w:rFonts w:hint="eastAsia"/>
                <w:color w:val="000000"/>
                <w:szCs w:val="21"/>
              </w:rPr>
              <w:t>1.存放在专用储存柜内；</w:t>
            </w:r>
            <w:r>
              <w:rPr>
                <w:rFonts w:hint="eastAsia"/>
                <w:color w:val="000000"/>
                <w:szCs w:val="21"/>
              </w:rPr>
              <w:br w:type="textWrapping"/>
            </w:r>
            <w:r>
              <w:rPr>
                <w:rFonts w:hint="eastAsia"/>
                <w:color w:val="000000"/>
                <w:szCs w:val="21"/>
              </w:rPr>
              <w:t>2.专用储存柜应具有防盗功能，符合双人双锁管理要求，并安装机械防盗锁</w:t>
            </w:r>
            <w:r>
              <w:rPr>
                <w:rFonts w:hint="eastAsia"/>
                <w:color w:val="000000"/>
                <w:szCs w:val="21"/>
                <w:lang w:eastAsia="zh-CN"/>
              </w:rPr>
              <w:t>。</w:t>
            </w:r>
          </w:p>
        </w:tc>
        <w:tc>
          <w:tcPr>
            <w:tcW w:w="359" w:type="pct"/>
            <w:tcMar>
              <w:left w:w="45" w:type="dxa"/>
              <w:right w:w="45" w:type="dxa"/>
            </w:tcMar>
            <w:vAlign w:val="center"/>
          </w:tcPr>
          <w:p>
            <w:pPr>
              <w:jc w:val="center"/>
              <w:rPr>
                <w:szCs w:val="21"/>
              </w:rPr>
            </w:pPr>
            <w:r>
              <w:rPr>
                <w:szCs w:val="21"/>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13</w:t>
            </w:r>
          </w:p>
        </w:tc>
        <w:tc>
          <w:tcPr>
            <w:tcW w:w="1403" w:type="pct"/>
            <w:tcMar>
              <w:left w:w="45" w:type="dxa"/>
              <w:right w:w="45" w:type="dxa"/>
            </w:tcMar>
            <w:vAlign w:val="center"/>
          </w:tcPr>
          <w:p>
            <w:pPr>
              <w:jc w:val="left"/>
              <w:rPr>
                <w:rFonts w:hint="eastAsia"/>
                <w:kern w:val="0"/>
                <w:szCs w:val="21"/>
              </w:rPr>
            </w:pPr>
            <w:r>
              <w:rPr>
                <w:rFonts w:hint="eastAsia"/>
                <w:kern w:val="0"/>
                <w:szCs w:val="21"/>
              </w:rPr>
              <w:t>易制毒化学品储存规范，台账清晰</w:t>
            </w:r>
          </w:p>
        </w:tc>
        <w:tc>
          <w:tcPr>
            <w:tcW w:w="2993" w:type="pct"/>
            <w:tcMar>
              <w:left w:w="45" w:type="dxa"/>
              <w:right w:w="45" w:type="dxa"/>
            </w:tcMar>
            <w:vAlign w:val="center"/>
          </w:tcPr>
          <w:p>
            <w:pPr>
              <w:widowControl/>
              <w:jc w:val="left"/>
              <w:rPr>
                <w:rFonts w:hint="eastAsia"/>
                <w:kern w:val="0"/>
                <w:szCs w:val="21"/>
              </w:rPr>
            </w:pPr>
            <w:r>
              <w:rPr>
                <w:rFonts w:hint="eastAsia"/>
                <w:kern w:val="0"/>
                <w:szCs w:val="21"/>
              </w:rPr>
              <w:t>专柜储存；第一类易制毒化学品、药品类易制毒化学品实现双人双锁管理，账册保存期限不少于</w:t>
            </w:r>
            <w:r>
              <w:rPr>
                <w:kern w:val="0"/>
                <w:szCs w:val="21"/>
              </w:rPr>
              <w:t>2</w:t>
            </w:r>
            <w:r>
              <w:rPr>
                <w:rFonts w:hint="eastAsia"/>
                <w:kern w:val="0"/>
                <w:szCs w:val="21"/>
              </w:rPr>
              <w:t>年</w:t>
            </w:r>
            <w:r>
              <w:rPr>
                <w:rFonts w:hint="eastAsia"/>
                <w:kern w:val="0"/>
                <w:szCs w:val="21"/>
                <w:lang w:eastAsia="zh-CN"/>
              </w:rPr>
              <w:t>。</w:t>
            </w:r>
          </w:p>
        </w:tc>
        <w:tc>
          <w:tcPr>
            <w:tcW w:w="359" w:type="pct"/>
            <w:tcMar>
              <w:left w:w="45" w:type="dxa"/>
              <w:right w:w="45" w:type="dxa"/>
            </w:tcMar>
            <w:vAlign w:val="center"/>
          </w:tcPr>
          <w:p>
            <w:pPr>
              <w:jc w:val="center"/>
              <w:rPr>
                <w:szCs w:val="21"/>
              </w:rPr>
            </w:pPr>
            <w:r>
              <w:rPr>
                <w:szCs w:val="21"/>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14</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气体的存放和使用符合相关要求</w:t>
            </w:r>
          </w:p>
        </w:tc>
        <w:tc>
          <w:tcPr>
            <w:tcW w:w="2993" w:type="pct"/>
            <w:tcMar>
              <w:left w:w="45" w:type="dxa"/>
              <w:right w:w="45" w:type="dxa"/>
            </w:tcMar>
            <w:vAlign w:val="center"/>
          </w:tcPr>
          <w:p>
            <w:pPr>
              <w:widowControl/>
              <w:jc w:val="left"/>
              <w:rPr>
                <w:kern w:val="0"/>
                <w:szCs w:val="21"/>
              </w:rPr>
            </w:pPr>
            <w:r>
              <w:rPr>
                <w:rFonts w:hint="eastAsia"/>
                <w:kern w:val="0"/>
                <w:szCs w:val="21"/>
              </w:rPr>
              <w:t>1</w:t>
            </w:r>
            <w:r>
              <w:rPr>
                <w:kern w:val="0"/>
                <w:szCs w:val="21"/>
              </w:rPr>
              <w:t>.</w:t>
            </w:r>
            <w:r>
              <w:rPr>
                <w:rFonts w:hint="eastAsia"/>
                <w:kern w:val="0"/>
                <w:szCs w:val="21"/>
              </w:rPr>
              <w:t>气体钢瓶存放点须通风、远离热源、避免暴晒，地面平整干燥，气瓶应合理固定；</w:t>
            </w:r>
          </w:p>
          <w:p>
            <w:pPr>
              <w:widowControl/>
              <w:jc w:val="left"/>
              <w:rPr>
                <w:color w:val="000000"/>
                <w:kern w:val="0"/>
                <w:szCs w:val="21"/>
              </w:rPr>
            </w:pPr>
            <w:r>
              <w:rPr>
                <w:rFonts w:hint="eastAsia"/>
                <w:color w:val="000000"/>
                <w:szCs w:val="21"/>
              </w:rPr>
              <w:t>2.危险气体钢瓶尽量置于室外，室内放置应使用常时排风且带报警探头的气瓶柜；</w:t>
            </w:r>
          </w:p>
          <w:p>
            <w:pPr>
              <w:widowControl/>
              <w:jc w:val="left"/>
              <w:rPr>
                <w:rFonts w:hint="eastAsia"/>
                <w:kern w:val="0"/>
                <w:szCs w:val="21"/>
              </w:rPr>
            </w:pPr>
            <w:r>
              <w:rPr>
                <w:rFonts w:hint="eastAsia"/>
                <w:color w:val="000000"/>
                <w:szCs w:val="21"/>
              </w:rPr>
              <w:t>3.气瓶的存放应控制在最小需求量；</w:t>
            </w:r>
            <w:r>
              <w:rPr>
                <w:rFonts w:hint="eastAsia"/>
                <w:color w:val="000000"/>
                <w:szCs w:val="21"/>
              </w:rPr>
              <w:br w:type="textWrapping"/>
            </w:r>
            <w:r>
              <w:rPr>
                <w:rFonts w:hint="eastAsia"/>
                <w:color w:val="000000"/>
                <w:szCs w:val="21"/>
              </w:rPr>
              <w:t>4.涉及有毒、可燃气体的场所，配有通风设施和相应的气体监控和报警装置等，张贴必要的安全警示标识；</w:t>
            </w:r>
            <w:r>
              <w:rPr>
                <w:rFonts w:hint="eastAsia"/>
                <w:color w:val="000000"/>
                <w:szCs w:val="21"/>
              </w:rPr>
              <w:br w:type="textWrapping"/>
            </w:r>
            <w:r>
              <w:rPr>
                <w:rFonts w:hint="eastAsia"/>
                <w:color w:val="000000"/>
                <w:szCs w:val="21"/>
              </w:rPr>
              <w:t>5.可燃性气体与氧气等助燃气体不混放；</w:t>
            </w:r>
            <w:r>
              <w:rPr>
                <w:rFonts w:hint="eastAsia"/>
                <w:color w:val="000000"/>
                <w:szCs w:val="21"/>
              </w:rPr>
              <w:br w:type="textWrapping"/>
            </w:r>
            <w:r>
              <w:rPr>
                <w:rFonts w:hint="eastAsia"/>
                <w:color w:val="000000"/>
                <w:szCs w:val="21"/>
              </w:rPr>
              <w:t>6.独立的气体钢瓶室，应通风、不混放、有监控，管路有标识、去向明确；</w:t>
            </w:r>
            <w:r>
              <w:rPr>
                <w:rFonts w:hint="eastAsia"/>
                <w:color w:val="000000"/>
                <w:szCs w:val="21"/>
              </w:rPr>
              <w:br w:type="textWrapping"/>
            </w:r>
            <w:r>
              <w:rPr>
                <w:rFonts w:hint="eastAsia"/>
                <w:color w:val="000000"/>
                <w:szCs w:val="21"/>
              </w:rPr>
              <w:t>7.</w:t>
            </w:r>
            <w:r>
              <w:rPr>
                <w:rFonts w:hint="eastAsia"/>
                <w:bCs/>
                <w:kern w:val="0"/>
                <w:szCs w:val="21"/>
              </w:rPr>
              <w:t>按照要求在实验室管理系统申请购买、及时入库登记</w:t>
            </w:r>
            <w:r>
              <w:rPr>
                <w:rFonts w:hint="eastAsia"/>
                <w:bCs/>
                <w:kern w:val="0"/>
                <w:szCs w:val="21"/>
                <w:lang w:eastAsia="zh-CN"/>
              </w:rPr>
              <w:t>。</w:t>
            </w:r>
          </w:p>
        </w:tc>
        <w:tc>
          <w:tcPr>
            <w:tcW w:w="359" w:type="pct"/>
            <w:tcMar>
              <w:left w:w="45" w:type="dxa"/>
              <w:right w:w="45" w:type="dxa"/>
            </w:tcMar>
            <w:vAlign w:val="center"/>
          </w:tcPr>
          <w:p>
            <w:pPr>
              <w:jc w:val="center"/>
              <w:rPr>
                <w:szCs w:val="21"/>
              </w:rPr>
            </w:pPr>
            <w:r>
              <w:rPr>
                <w:szCs w:val="21"/>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15</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烘箱、电阻炉等加热设备使用正确</w:t>
            </w:r>
          </w:p>
        </w:tc>
        <w:tc>
          <w:tcPr>
            <w:tcW w:w="2993" w:type="pct"/>
            <w:tcMar>
              <w:left w:w="45" w:type="dxa"/>
              <w:right w:w="45" w:type="dxa"/>
            </w:tcMar>
            <w:vAlign w:val="center"/>
          </w:tcPr>
          <w:p>
            <w:pPr>
              <w:widowControl/>
              <w:numPr>
                <w:ilvl w:val="0"/>
                <w:numId w:val="0"/>
              </w:numPr>
              <w:jc w:val="left"/>
              <w:rPr>
                <w:kern w:val="0"/>
                <w:szCs w:val="21"/>
              </w:rPr>
            </w:pPr>
            <w:r>
              <w:rPr>
                <w:rFonts w:hint="eastAsia"/>
                <w:kern w:val="0"/>
                <w:szCs w:val="21"/>
                <w:lang w:val="en-US" w:eastAsia="zh-CN"/>
              </w:rPr>
              <w:t>1.</w:t>
            </w:r>
            <w:r>
              <w:rPr>
                <w:rFonts w:hint="eastAsia"/>
                <w:kern w:val="0"/>
                <w:szCs w:val="21"/>
              </w:rPr>
              <w:t>烘箱等加热设备内不准烘烤易燃易爆试剂及易燃物品；</w:t>
            </w:r>
          </w:p>
          <w:p>
            <w:pPr>
              <w:widowControl/>
              <w:numPr>
                <w:ilvl w:val="0"/>
                <w:numId w:val="0"/>
              </w:numPr>
              <w:jc w:val="left"/>
              <w:rPr>
                <w:kern w:val="0"/>
                <w:szCs w:val="21"/>
              </w:rPr>
            </w:pPr>
            <w:r>
              <w:rPr>
                <w:rFonts w:hint="eastAsia"/>
                <w:kern w:val="0"/>
                <w:szCs w:val="21"/>
                <w:lang w:val="en-US" w:eastAsia="zh-CN"/>
              </w:rPr>
              <w:t>2.</w:t>
            </w:r>
            <w:r>
              <w:rPr>
                <w:rFonts w:hint="eastAsia"/>
                <w:kern w:val="0"/>
                <w:szCs w:val="21"/>
              </w:rPr>
              <w:t>不使用塑料筐等易燃容器盛放实验物品在烘箱等加热设备内烘烤；</w:t>
            </w:r>
          </w:p>
          <w:p>
            <w:pPr>
              <w:widowControl/>
              <w:numPr>
                <w:ilvl w:val="0"/>
                <w:numId w:val="0"/>
              </w:numPr>
              <w:jc w:val="left"/>
              <w:rPr>
                <w:rFonts w:hint="eastAsia" w:eastAsiaTheme="minorEastAsia"/>
                <w:kern w:val="0"/>
                <w:szCs w:val="21"/>
                <w:lang w:eastAsia="zh-CN"/>
              </w:rPr>
            </w:pPr>
            <w:r>
              <w:rPr>
                <w:rFonts w:hint="eastAsia"/>
                <w:kern w:val="0"/>
                <w:szCs w:val="21"/>
                <w:lang w:val="en-US" w:eastAsia="zh-CN"/>
              </w:rPr>
              <w:t>3.</w:t>
            </w:r>
            <w:r>
              <w:rPr>
                <w:rFonts w:hint="eastAsia"/>
                <w:kern w:val="0"/>
                <w:szCs w:val="21"/>
              </w:rPr>
              <w:t>使用完毕，清理物品、切断电源，</w:t>
            </w:r>
            <w:r>
              <w:rPr>
                <w:rFonts w:hint="eastAsia"/>
                <w:b/>
                <w:bCs/>
                <w:kern w:val="0"/>
                <w:szCs w:val="21"/>
                <w:u w:val="single"/>
              </w:rPr>
              <w:t>确认其冷却至安全温度</w:t>
            </w:r>
            <w:r>
              <w:rPr>
                <w:rFonts w:hint="eastAsia"/>
                <w:kern w:val="0"/>
                <w:szCs w:val="21"/>
              </w:rPr>
              <w:t>后方能离开</w:t>
            </w:r>
            <w:r>
              <w:rPr>
                <w:rFonts w:hint="eastAsia"/>
                <w:kern w:val="0"/>
                <w:szCs w:val="21"/>
                <w:lang w:eastAsia="zh-CN"/>
              </w:rPr>
              <w:t>；</w:t>
            </w:r>
          </w:p>
          <w:p>
            <w:pPr>
              <w:widowControl/>
              <w:numPr>
                <w:ilvl w:val="0"/>
                <w:numId w:val="0"/>
              </w:numPr>
              <w:jc w:val="left"/>
              <w:rPr>
                <w:kern w:val="0"/>
                <w:szCs w:val="21"/>
              </w:rPr>
            </w:pPr>
            <w:r>
              <w:rPr>
                <w:rFonts w:hint="eastAsia"/>
                <w:kern w:val="0"/>
                <w:szCs w:val="21"/>
                <w:lang w:val="en-US" w:eastAsia="zh-CN"/>
              </w:rPr>
              <w:t>4.</w:t>
            </w:r>
            <w:r>
              <w:rPr>
                <w:rFonts w:hint="eastAsia"/>
                <w:kern w:val="0"/>
                <w:szCs w:val="21"/>
              </w:rPr>
              <w:t>使用电阻炉等明火设备时有人值守；</w:t>
            </w:r>
          </w:p>
          <w:p>
            <w:pPr>
              <w:widowControl/>
              <w:numPr>
                <w:ilvl w:val="0"/>
                <w:numId w:val="0"/>
              </w:numPr>
              <w:ind w:left="0" w:leftChars="0" w:firstLine="0" w:firstLineChars="0"/>
              <w:jc w:val="left"/>
              <w:rPr>
                <w:rFonts w:hint="eastAsia"/>
                <w:color w:val="000000"/>
                <w:szCs w:val="21"/>
              </w:rPr>
            </w:pPr>
            <w:r>
              <w:rPr>
                <w:rFonts w:hint="eastAsia"/>
                <w:kern w:val="0"/>
                <w:szCs w:val="21"/>
                <w:lang w:val="en-US" w:eastAsia="zh-CN"/>
              </w:rPr>
              <w:t>5.</w:t>
            </w:r>
            <w:r>
              <w:rPr>
                <w:rFonts w:hint="eastAsia"/>
                <w:kern w:val="0"/>
                <w:szCs w:val="21"/>
              </w:rPr>
              <w:t>使用加热设备时，温度较高的实验需有人值守或有实时监控措</w:t>
            </w:r>
            <w:r>
              <w:rPr>
                <w:rFonts w:hint="eastAsia"/>
                <w:kern w:val="0"/>
                <w:szCs w:val="21"/>
                <w:lang w:eastAsia="zh-CN"/>
              </w:rPr>
              <w:t>。</w:t>
            </w:r>
          </w:p>
        </w:tc>
        <w:tc>
          <w:tcPr>
            <w:tcW w:w="359" w:type="pct"/>
            <w:tcMar>
              <w:left w:w="45" w:type="dxa"/>
              <w:right w:w="45" w:type="dxa"/>
            </w:tcMar>
            <w:vAlign w:val="center"/>
          </w:tcPr>
          <w:p>
            <w:pPr>
              <w:jc w:val="center"/>
              <w:rPr>
                <w:szCs w:val="21"/>
              </w:rPr>
            </w:pPr>
            <w:r>
              <w:rPr>
                <w:bCs/>
                <w:kern w:val="0"/>
                <w:szCs w:val="21"/>
              </w:rPr>
              <w:t>6</w:t>
            </w:r>
            <w:r>
              <w:rPr>
                <w:rFonts w:hint="eastAsia"/>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16</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使用明火电炉或者电吹风须有安全防范举措</w:t>
            </w:r>
          </w:p>
        </w:tc>
        <w:tc>
          <w:tcPr>
            <w:tcW w:w="2993" w:type="pct"/>
            <w:tcMar>
              <w:left w:w="45" w:type="dxa"/>
              <w:right w:w="45" w:type="dxa"/>
            </w:tcMar>
            <w:vAlign w:val="center"/>
          </w:tcPr>
          <w:p>
            <w:pPr>
              <w:widowControl/>
              <w:jc w:val="left"/>
              <w:rPr>
                <w:kern w:val="0"/>
                <w:szCs w:val="21"/>
              </w:rPr>
            </w:pPr>
            <w:r>
              <w:rPr>
                <w:rFonts w:hint="eastAsia"/>
                <w:kern w:val="0"/>
                <w:szCs w:val="21"/>
              </w:rPr>
              <w:t>1.涉及化学品的实验室不使用明火电炉；</w:t>
            </w:r>
          </w:p>
          <w:p>
            <w:pPr>
              <w:widowControl/>
              <w:jc w:val="left"/>
              <w:rPr>
                <w:kern w:val="0"/>
                <w:szCs w:val="21"/>
              </w:rPr>
            </w:pPr>
            <w:r>
              <w:rPr>
                <w:rFonts w:hint="eastAsia"/>
                <w:kern w:val="0"/>
                <w:szCs w:val="21"/>
              </w:rPr>
              <w:t>2.不使用明火电炉加热易燃易爆试剂；明火电炉、电吹风、电热枪等用毕，须及时拔除电源插头；</w:t>
            </w:r>
          </w:p>
          <w:p>
            <w:pPr>
              <w:widowControl/>
              <w:jc w:val="left"/>
              <w:rPr>
                <w:rFonts w:hint="eastAsia"/>
                <w:color w:val="000000"/>
                <w:szCs w:val="21"/>
              </w:rPr>
            </w:pPr>
            <w:r>
              <w:rPr>
                <w:rFonts w:hint="eastAsia"/>
                <w:kern w:val="0"/>
                <w:szCs w:val="21"/>
              </w:rPr>
              <w:t>3.不能用纸质、木质等材料自制红外灯烘箱</w:t>
            </w:r>
            <w:r>
              <w:rPr>
                <w:rFonts w:hint="eastAsia"/>
                <w:kern w:val="0"/>
                <w:szCs w:val="21"/>
                <w:lang w:eastAsia="zh-CN"/>
              </w:rPr>
              <w:t>。</w:t>
            </w:r>
          </w:p>
        </w:tc>
        <w:tc>
          <w:tcPr>
            <w:tcW w:w="359" w:type="pct"/>
            <w:tcMar>
              <w:left w:w="45" w:type="dxa"/>
              <w:right w:w="45" w:type="dxa"/>
            </w:tcMar>
            <w:vAlign w:val="center"/>
          </w:tcPr>
          <w:p>
            <w:pPr>
              <w:jc w:val="center"/>
              <w:rPr>
                <w:szCs w:val="21"/>
              </w:rPr>
            </w:pPr>
            <w:r>
              <w:rPr>
                <w:bCs/>
                <w:kern w:val="0"/>
                <w:szCs w:val="21"/>
              </w:rPr>
              <w:t>6</w:t>
            </w:r>
            <w:r>
              <w:rPr>
                <w:rFonts w:hint="eastAsia"/>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eastAsiaTheme="minorEastAsia"/>
                <w:kern w:val="0"/>
                <w:szCs w:val="21"/>
                <w:lang w:val="en-US" w:eastAsia="zh-CN"/>
              </w:rPr>
            </w:pPr>
            <w:r>
              <w:rPr>
                <w:rFonts w:hint="eastAsia"/>
                <w:kern w:val="0"/>
                <w:szCs w:val="21"/>
                <w:lang w:val="en-US" w:eastAsia="zh-CN"/>
              </w:rPr>
              <w:t>17</w:t>
            </w:r>
          </w:p>
        </w:tc>
        <w:tc>
          <w:tcPr>
            <w:tcW w:w="1403" w:type="pct"/>
            <w:tcMar>
              <w:left w:w="45" w:type="dxa"/>
              <w:right w:w="45" w:type="dxa"/>
            </w:tcMar>
            <w:vAlign w:val="center"/>
          </w:tcPr>
          <w:p>
            <w:pPr>
              <w:widowControl/>
              <w:jc w:val="left"/>
              <w:rPr>
                <w:kern w:val="0"/>
                <w:szCs w:val="21"/>
              </w:rPr>
            </w:pPr>
            <w:r>
              <w:rPr>
                <w:rFonts w:hint="eastAsia"/>
                <w:kern w:val="0"/>
                <w:szCs w:val="21"/>
              </w:rPr>
              <w:t>实验室房间须建立自检自查台账</w:t>
            </w:r>
          </w:p>
        </w:tc>
        <w:tc>
          <w:tcPr>
            <w:tcW w:w="2993" w:type="pct"/>
            <w:tcMar>
              <w:left w:w="45" w:type="dxa"/>
              <w:right w:w="45" w:type="dxa"/>
            </w:tcMar>
            <w:vAlign w:val="center"/>
          </w:tcPr>
          <w:p>
            <w:pPr>
              <w:widowControl/>
              <w:numPr>
                <w:ilvl w:val="0"/>
                <w:numId w:val="0"/>
              </w:numPr>
              <w:jc w:val="left"/>
              <w:rPr>
                <w:rFonts w:hint="eastAsia"/>
                <w:bCs/>
                <w:kern w:val="0"/>
                <w:szCs w:val="21"/>
                <w:lang w:eastAsia="zh-CN"/>
              </w:rPr>
            </w:pPr>
            <w:r>
              <w:rPr>
                <w:rFonts w:hint="eastAsia"/>
                <w:bCs/>
                <w:kern w:val="0"/>
                <w:szCs w:val="21"/>
                <w:lang w:val="en-US" w:eastAsia="zh-CN"/>
              </w:rPr>
              <w:t>1.</w:t>
            </w:r>
            <w:r>
              <w:rPr>
                <w:rFonts w:hint="eastAsia"/>
                <w:bCs/>
                <w:kern w:val="0"/>
                <w:szCs w:val="21"/>
              </w:rPr>
              <w:t>实验室人员进出实验室应及时在进出与</w:t>
            </w:r>
            <w:r>
              <w:rPr>
                <w:rFonts w:hint="eastAsia"/>
                <w:b/>
                <w:bCs w:val="0"/>
                <w:kern w:val="0"/>
                <w:szCs w:val="21"/>
                <w:u w:val="single"/>
              </w:rPr>
              <w:t>安全环境记录本登记</w:t>
            </w:r>
            <w:r>
              <w:rPr>
                <w:rFonts w:hint="eastAsia"/>
                <w:bCs/>
                <w:kern w:val="0"/>
                <w:szCs w:val="21"/>
              </w:rPr>
              <w:t>，每天最后离开的人检查水电气门窗等</w:t>
            </w:r>
            <w:r>
              <w:rPr>
                <w:rFonts w:hint="eastAsia"/>
                <w:bCs/>
                <w:kern w:val="0"/>
                <w:szCs w:val="21"/>
                <w:lang w:eastAsia="zh-CN"/>
              </w:rPr>
              <w:t>，</w:t>
            </w:r>
            <w:r>
              <w:rPr>
                <w:rFonts w:hint="eastAsia"/>
                <w:bCs/>
                <w:kern w:val="0"/>
                <w:szCs w:val="21"/>
                <w:lang w:val="en-US" w:eastAsia="zh-CN"/>
              </w:rPr>
              <w:t>并按照要求拍照上传到中心研究生微信群</w:t>
            </w:r>
            <w:r>
              <w:rPr>
                <w:rFonts w:hint="eastAsia"/>
                <w:bCs/>
                <w:kern w:val="0"/>
                <w:szCs w:val="21"/>
                <w:lang w:eastAsia="zh-CN"/>
              </w:rPr>
              <w:t>；</w:t>
            </w:r>
          </w:p>
          <w:p>
            <w:pPr>
              <w:widowControl/>
              <w:jc w:val="left"/>
              <w:rPr>
                <w:bCs/>
                <w:kern w:val="0"/>
                <w:szCs w:val="21"/>
              </w:rPr>
            </w:pPr>
            <w:r>
              <w:rPr>
                <w:rFonts w:hint="eastAsia"/>
                <w:bCs/>
                <w:kern w:val="0"/>
                <w:szCs w:val="21"/>
              </w:rPr>
              <w:t>2.设备运行中，大门敞开，无人值守。</w:t>
            </w:r>
            <w:bookmarkStart w:id="1" w:name="_GoBack"/>
            <w:bookmarkEnd w:id="1"/>
          </w:p>
        </w:tc>
        <w:tc>
          <w:tcPr>
            <w:tcW w:w="359" w:type="pct"/>
            <w:tcMar>
              <w:left w:w="45" w:type="dxa"/>
              <w:right w:w="45" w:type="dxa"/>
            </w:tcMar>
            <w:vAlign w:val="center"/>
          </w:tcPr>
          <w:p>
            <w:pPr>
              <w:widowControl/>
              <w:jc w:val="center"/>
              <w:rPr>
                <w:bCs/>
                <w:kern w:val="0"/>
                <w:szCs w:val="21"/>
              </w:rPr>
            </w:pPr>
            <w:r>
              <w:rPr>
                <w:bCs/>
                <w:kern w:val="0"/>
                <w:szCs w:val="21"/>
              </w:rPr>
              <w:t>3</w:t>
            </w:r>
            <w:r>
              <w:rPr>
                <w:rFonts w:hint="eastAsia"/>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eastAsia"/>
                <w:kern w:val="0"/>
                <w:szCs w:val="21"/>
                <w:lang w:val="en-US" w:eastAsia="zh-CN"/>
              </w:rPr>
            </w:pPr>
            <w:r>
              <w:rPr>
                <w:rFonts w:hint="eastAsia"/>
                <w:kern w:val="0"/>
                <w:szCs w:val="21"/>
                <w:lang w:val="en-US" w:eastAsia="zh-CN"/>
              </w:rPr>
              <w:t>18</w:t>
            </w:r>
          </w:p>
        </w:tc>
        <w:tc>
          <w:tcPr>
            <w:tcW w:w="1403" w:type="pct"/>
            <w:tcMar>
              <w:left w:w="45" w:type="dxa"/>
              <w:right w:w="45" w:type="dxa"/>
            </w:tcMar>
            <w:vAlign w:val="center"/>
          </w:tcPr>
          <w:p>
            <w:pPr>
              <w:widowControl/>
              <w:rPr>
                <w:rFonts w:hint="eastAsia"/>
                <w:kern w:val="0"/>
                <w:szCs w:val="21"/>
              </w:rPr>
            </w:pPr>
            <w:r>
              <w:rPr>
                <w:rFonts w:hint="eastAsia"/>
                <w:kern w:val="0"/>
                <w:szCs w:val="21"/>
              </w:rPr>
              <w:t>实验室内危险化学品建有动态台账</w:t>
            </w:r>
          </w:p>
        </w:tc>
        <w:tc>
          <w:tcPr>
            <w:tcW w:w="2993" w:type="pct"/>
            <w:tcMar>
              <w:left w:w="45" w:type="dxa"/>
              <w:right w:w="45" w:type="dxa"/>
            </w:tcMar>
            <w:vAlign w:val="center"/>
          </w:tcPr>
          <w:p>
            <w:pPr>
              <w:widowControl/>
              <w:numPr>
                <w:ilvl w:val="0"/>
                <w:numId w:val="0"/>
              </w:numPr>
              <w:jc w:val="left"/>
              <w:rPr>
                <w:rFonts w:hint="eastAsia"/>
                <w:color w:val="000000"/>
                <w:szCs w:val="21"/>
              </w:rPr>
            </w:pPr>
            <w:r>
              <w:rPr>
                <w:rFonts w:hint="eastAsia"/>
                <w:color w:val="000000"/>
                <w:szCs w:val="21"/>
                <w:lang w:val="en-US" w:eastAsia="zh-CN"/>
              </w:rPr>
              <w:t>1.</w:t>
            </w:r>
            <w:r>
              <w:rPr>
                <w:rFonts w:hint="eastAsia"/>
                <w:color w:val="000000"/>
                <w:szCs w:val="21"/>
              </w:rPr>
              <w:t>定期清理过期药品，无累积现象；</w:t>
            </w:r>
          </w:p>
          <w:p>
            <w:pPr>
              <w:widowControl/>
              <w:numPr>
                <w:ilvl w:val="0"/>
                <w:numId w:val="0"/>
              </w:numPr>
              <w:ind w:left="0" w:leftChars="0" w:firstLine="0" w:firstLineChars="0"/>
              <w:jc w:val="left"/>
              <w:rPr>
                <w:rFonts w:hint="eastAsia"/>
                <w:bCs/>
                <w:kern w:val="0"/>
                <w:szCs w:val="21"/>
              </w:rPr>
            </w:pPr>
            <w:r>
              <w:rPr>
                <w:rFonts w:hint="eastAsia"/>
                <w:color w:val="000000"/>
                <w:szCs w:val="21"/>
                <w:lang w:val="en-US" w:eastAsia="zh-CN"/>
              </w:rPr>
              <w:t>2.使用台账记录及时、完整。</w:t>
            </w:r>
          </w:p>
        </w:tc>
        <w:tc>
          <w:tcPr>
            <w:tcW w:w="359" w:type="pct"/>
            <w:tcMar>
              <w:left w:w="45" w:type="dxa"/>
              <w:right w:w="45" w:type="dxa"/>
            </w:tcMar>
            <w:vAlign w:val="center"/>
          </w:tcPr>
          <w:p>
            <w:pPr>
              <w:jc w:val="center"/>
              <w:rPr>
                <w:bCs/>
                <w:kern w:val="0"/>
                <w:szCs w:val="21"/>
              </w:rPr>
            </w:pPr>
            <w:r>
              <w:rPr>
                <w:rFonts w:hint="eastAsia"/>
                <w:szCs w:val="21"/>
                <w:lang w:val="en-US" w:eastAsia="zh-CN"/>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243" w:type="pct"/>
            <w:tcMar>
              <w:left w:w="45" w:type="dxa"/>
              <w:right w:w="45" w:type="dxa"/>
            </w:tcMar>
            <w:vAlign w:val="center"/>
          </w:tcPr>
          <w:p>
            <w:pPr>
              <w:widowControl/>
              <w:jc w:val="center"/>
              <w:rPr>
                <w:rFonts w:hint="eastAsia"/>
                <w:kern w:val="0"/>
                <w:szCs w:val="21"/>
                <w:lang w:val="en-US" w:eastAsia="zh-CN"/>
              </w:rPr>
            </w:pPr>
            <w:r>
              <w:rPr>
                <w:rFonts w:hint="eastAsia"/>
                <w:kern w:val="0"/>
                <w:szCs w:val="21"/>
                <w:lang w:val="en-US" w:eastAsia="zh-CN"/>
              </w:rPr>
              <w:t>18</w:t>
            </w:r>
          </w:p>
        </w:tc>
        <w:tc>
          <w:tcPr>
            <w:tcW w:w="1403" w:type="pct"/>
            <w:tcMar>
              <w:left w:w="45" w:type="dxa"/>
              <w:right w:w="45" w:type="dxa"/>
            </w:tcMar>
            <w:vAlign w:val="center"/>
          </w:tcPr>
          <w:p>
            <w:pPr>
              <w:widowControl/>
              <w:rPr>
                <w:rFonts w:hint="eastAsia"/>
                <w:kern w:val="0"/>
                <w:szCs w:val="21"/>
              </w:rPr>
            </w:pPr>
            <w:r>
              <w:rPr>
                <w:rFonts w:hint="eastAsia"/>
                <w:szCs w:val="21"/>
              </w:rPr>
              <w:t>化学品有专用存放空间并科学有序存放</w:t>
            </w:r>
          </w:p>
        </w:tc>
        <w:tc>
          <w:tcPr>
            <w:tcW w:w="2993" w:type="pct"/>
            <w:tcMar>
              <w:left w:w="45" w:type="dxa"/>
              <w:right w:w="4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b w:val="0"/>
                <w:bCs w:val="0"/>
                <w:kern w:val="0"/>
                <w:szCs w:val="21"/>
                <w:u w:val="none"/>
              </w:rPr>
            </w:pPr>
            <w:r>
              <w:rPr>
                <w:rFonts w:hint="eastAsia"/>
                <w:b w:val="0"/>
                <w:bCs w:val="0"/>
                <w:color w:val="000000"/>
                <w:szCs w:val="21"/>
                <w:u w:val="none"/>
                <w:lang w:val="en-US" w:eastAsia="zh-CN"/>
              </w:rPr>
              <w:t>1.</w:t>
            </w:r>
            <w:r>
              <w:rPr>
                <w:rFonts w:hint="eastAsia"/>
                <w:b w:val="0"/>
                <w:bCs w:val="0"/>
                <w:color w:val="000000"/>
                <w:szCs w:val="21"/>
                <w:u w:val="none"/>
              </w:rPr>
              <w:t>饮料瓶装样品，未将原标签全部去除</w:t>
            </w:r>
            <w:r>
              <w:rPr>
                <w:rFonts w:hint="eastAsia"/>
                <w:b w:val="0"/>
                <w:bCs w:val="0"/>
                <w:color w:val="000000"/>
                <w:szCs w:val="21"/>
                <w:u w:val="none"/>
                <w:lang w:eastAsia="zh-CN"/>
              </w:rPr>
              <w:t>；</w:t>
            </w:r>
          </w:p>
          <w:p>
            <w:pPr>
              <w:keepNext w:val="0"/>
              <w:keepLines w:val="0"/>
              <w:pageBreakBefore w:val="0"/>
              <w:kinsoku/>
              <w:wordWrap/>
              <w:overflowPunct/>
              <w:topLinePunct w:val="0"/>
              <w:autoSpaceDE/>
              <w:autoSpaceDN/>
              <w:bidi w:val="0"/>
              <w:adjustRightInd/>
              <w:snapToGrid/>
              <w:textAlignment w:val="auto"/>
              <w:rPr>
                <w:rFonts w:hint="eastAsia" w:eastAsiaTheme="minorEastAsia"/>
                <w:bCs/>
                <w:kern w:val="0"/>
                <w:szCs w:val="21"/>
                <w:lang w:eastAsia="zh-CN"/>
              </w:rPr>
            </w:pPr>
            <w:r>
              <w:rPr>
                <w:rFonts w:hint="eastAsia"/>
                <w:b w:val="0"/>
                <w:bCs w:val="0"/>
                <w:color w:val="000000"/>
                <w:szCs w:val="21"/>
                <w:u w:val="none"/>
              </w:rPr>
              <w:t>2.有机溶剂储存区应远离热源和火源；</w:t>
            </w:r>
            <w:r>
              <w:rPr>
                <w:rFonts w:hint="eastAsia"/>
                <w:b w:val="0"/>
                <w:bCs w:val="0"/>
                <w:color w:val="000000"/>
                <w:szCs w:val="21"/>
                <w:u w:val="none"/>
              </w:rPr>
              <w:br w:type="textWrapping"/>
            </w:r>
            <w:r>
              <w:rPr>
                <w:rFonts w:hint="eastAsia"/>
                <w:b w:val="0"/>
                <w:bCs w:val="0"/>
                <w:color w:val="000000"/>
                <w:szCs w:val="21"/>
                <w:u w:val="none"/>
              </w:rPr>
              <w:t>3.易泄漏、易挥发的试剂保证充足的通风；</w:t>
            </w:r>
            <w:r>
              <w:rPr>
                <w:rFonts w:hint="eastAsia"/>
                <w:b w:val="0"/>
                <w:bCs w:val="0"/>
                <w:color w:val="000000"/>
                <w:szCs w:val="21"/>
                <w:u w:val="none"/>
              </w:rPr>
              <w:br w:type="textWrapping"/>
            </w:r>
            <w:r>
              <w:rPr>
                <w:rFonts w:hint="eastAsia"/>
                <w:b w:val="0"/>
                <w:bCs w:val="0"/>
                <w:color w:val="000000"/>
                <w:szCs w:val="21"/>
                <w:u w:val="none"/>
              </w:rPr>
              <w:t>4.试剂柜中不能有电源插座或接线板；</w:t>
            </w:r>
            <w:r>
              <w:rPr>
                <w:rFonts w:hint="eastAsia"/>
                <w:b w:val="0"/>
                <w:bCs w:val="0"/>
                <w:color w:val="000000"/>
                <w:szCs w:val="21"/>
                <w:u w:val="none"/>
              </w:rPr>
              <w:br w:type="textWrapping"/>
            </w:r>
            <w:r>
              <w:rPr>
                <w:rFonts w:hint="eastAsia"/>
                <w:b/>
                <w:bCs/>
                <w:color w:val="000000"/>
                <w:szCs w:val="21"/>
                <w:u w:val="single"/>
              </w:rPr>
              <w:t>5.化学品有序分类存放、固</w:t>
            </w:r>
            <w:r>
              <w:rPr>
                <w:rFonts w:hint="eastAsia"/>
                <w:b/>
                <w:bCs/>
                <w:color w:val="000000"/>
                <w:szCs w:val="21"/>
                <w:u w:val="single"/>
                <w:lang w:val="en-US" w:eastAsia="zh-CN"/>
              </w:rPr>
              <w:t>上</w:t>
            </w:r>
            <w:r>
              <w:rPr>
                <w:rFonts w:hint="eastAsia"/>
                <w:b/>
                <w:bCs/>
                <w:color w:val="000000"/>
                <w:szCs w:val="21"/>
                <w:u w:val="single"/>
              </w:rPr>
              <w:t>液</w:t>
            </w:r>
            <w:r>
              <w:rPr>
                <w:rFonts w:hint="eastAsia"/>
                <w:b/>
                <w:bCs/>
                <w:color w:val="000000"/>
                <w:szCs w:val="21"/>
                <w:u w:val="single"/>
                <w:lang w:val="en-US" w:eastAsia="zh-CN"/>
              </w:rPr>
              <w:t>下</w:t>
            </w:r>
            <w:r>
              <w:rPr>
                <w:rFonts w:hint="eastAsia"/>
                <w:b/>
                <w:bCs/>
                <w:color w:val="000000"/>
                <w:szCs w:val="21"/>
                <w:u w:val="single"/>
              </w:rPr>
              <w:t>放置、配伍禁忌化学品不得混放、试剂不得叠放；</w:t>
            </w:r>
            <w:r>
              <w:rPr>
                <w:rFonts w:hint="eastAsia"/>
                <w:b w:val="0"/>
                <w:bCs w:val="0"/>
                <w:color w:val="000000"/>
                <w:szCs w:val="21"/>
                <w:u w:val="none"/>
              </w:rPr>
              <w:br w:type="textWrapping"/>
            </w:r>
            <w:r>
              <w:rPr>
                <w:rFonts w:hint="eastAsia"/>
                <w:b w:val="0"/>
                <w:bCs w:val="0"/>
                <w:color w:val="000000"/>
                <w:szCs w:val="21"/>
                <w:u w:val="none"/>
              </w:rPr>
              <w:t>6.装有试剂的试剂瓶不得开口放置；配备必要的二次泄漏防护、吸附或防溢流功能；</w:t>
            </w:r>
            <w:r>
              <w:rPr>
                <w:rFonts w:hint="eastAsia"/>
                <w:b w:val="0"/>
                <w:bCs w:val="0"/>
                <w:color w:val="000000"/>
                <w:szCs w:val="21"/>
                <w:u w:val="none"/>
              </w:rPr>
              <w:br w:type="textWrapping"/>
            </w:r>
            <w:r>
              <w:rPr>
                <w:rFonts w:hint="eastAsia"/>
                <w:b w:val="0"/>
                <w:bCs w:val="0"/>
                <w:color w:val="000000"/>
                <w:szCs w:val="21"/>
                <w:u w:val="none"/>
              </w:rPr>
              <w:t>7.使用药品时，人不在场及时收纳回药品柜，不能放在台面，台架，通风橱内等其它区域；</w:t>
            </w:r>
            <w:r>
              <w:rPr>
                <w:rFonts w:hint="eastAsia"/>
                <w:b w:val="0"/>
                <w:bCs w:val="0"/>
                <w:color w:val="000000"/>
                <w:szCs w:val="21"/>
                <w:u w:val="none"/>
              </w:rPr>
              <w:br w:type="textWrapping"/>
            </w:r>
            <w:r>
              <w:rPr>
                <w:rFonts w:hint="eastAsia"/>
                <w:b w:val="0"/>
                <w:bCs w:val="0"/>
                <w:color w:val="000000"/>
                <w:szCs w:val="21"/>
                <w:u w:val="none"/>
              </w:rPr>
              <w:t>8.实验台架无挡板不得存放化学试剂</w:t>
            </w:r>
            <w:r>
              <w:rPr>
                <w:rFonts w:hint="eastAsia"/>
                <w:b w:val="0"/>
                <w:bCs w:val="0"/>
                <w:color w:val="000000"/>
                <w:szCs w:val="21"/>
                <w:u w:val="none"/>
                <w:lang w:eastAsia="zh-CN"/>
              </w:rPr>
              <w:t>；</w:t>
            </w:r>
            <w:r>
              <w:rPr>
                <w:rFonts w:hint="eastAsia"/>
                <w:b w:val="0"/>
                <w:bCs w:val="0"/>
                <w:color w:val="000000"/>
                <w:szCs w:val="21"/>
                <w:u w:val="none"/>
              </w:rPr>
              <w:br w:type="textWrapping"/>
            </w:r>
            <w:r>
              <w:rPr>
                <w:rFonts w:hint="eastAsia"/>
                <w:b w:val="0"/>
                <w:bCs w:val="0"/>
                <w:color w:val="000000"/>
                <w:szCs w:val="21"/>
                <w:u w:val="none"/>
                <w:lang w:val="en-US" w:eastAsia="zh-CN"/>
              </w:rPr>
              <w:t>9</w:t>
            </w:r>
            <w:r>
              <w:rPr>
                <w:rFonts w:hint="eastAsia"/>
                <w:b w:val="0"/>
                <w:bCs w:val="0"/>
                <w:color w:val="000000"/>
                <w:szCs w:val="21"/>
                <w:u w:val="none"/>
              </w:rPr>
              <w:t>.未使用药品时，化学试剂柜未锁;</w:t>
            </w:r>
            <w:r>
              <w:rPr>
                <w:rFonts w:hint="eastAsia"/>
                <w:b w:val="0"/>
                <w:bCs w:val="0"/>
                <w:color w:val="000000"/>
                <w:szCs w:val="21"/>
                <w:u w:val="none"/>
              </w:rPr>
              <w:br w:type="textWrapping"/>
            </w:r>
            <w:r>
              <w:rPr>
                <w:rFonts w:hint="eastAsia"/>
                <w:b w:val="0"/>
                <w:bCs w:val="0"/>
                <w:color w:val="000000"/>
                <w:szCs w:val="21"/>
                <w:u w:val="none"/>
              </w:rPr>
              <w:t>1</w:t>
            </w:r>
            <w:r>
              <w:rPr>
                <w:rFonts w:hint="eastAsia"/>
                <w:b w:val="0"/>
                <w:bCs w:val="0"/>
                <w:color w:val="000000"/>
                <w:szCs w:val="21"/>
                <w:u w:val="none"/>
                <w:lang w:val="en-US" w:eastAsia="zh-CN"/>
              </w:rPr>
              <w:t>0</w:t>
            </w:r>
            <w:r>
              <w:rPr>
                <w:rFonts w:hint="eastAsia"/>
                <w:b w:val="0"/>
                <w:bCs w:val="0"/>
                <w:color w:val="000000"/>
                <w:szCs w:val="21"/>
                <w:u w:val="none"/>
              </w:rPr>
              <w:t>.缺少药品使用记录，记录登记不规范；</w:t>
            </w:r>
            <w:r>
              <w:rPr>
                <w:rFonts w:hint="eastAsia"/>
                <w:b w:val="0"/>
                <w:bCs w:val="0"/>
                <w:color w:val="000000"/>
                <w:szCs w:val="21"/>
                <w:u w:val="none"/>
              </w:rPr>
              <w:br w:type="textWrapping"/>
            </w:r>
            <w:r>
              <w:rPr>
                <w:rFonts w:hint="eastAsia"/>
                <w:b w:val="0"/>
                <w:bCs w:val="0"/>
                <w:color w:val="000000"/>
                <w:szCs w:val="21"/>
                <w:u w:val="none"/>
              </w:rPr>
              <w:t>1</w:t>
            </w:r>
            <w:r>
              <w:rPr>
                <w:rFonts w:hint="eastAsia"/>
                <w:b w:val="0"/>
                <w:bCs w:val="0"/>
                <w:color w:val="000000"/>
                <w:szCs w:val="21"/>
                <w:u w:val="none"/>
                <w:lang w:val="en-US" w:eastAsia="zh-CN"/>
              </w:rPr>
              <w:t>1</w:t>
            </w:r>
            <w:r>
              <w:rPr>
                <w:rFonts w:hint="eastAsia"/>
                <w:b w:val="0"/>
                <w:bCs w:val="0"/>
                <w:color w:val="000000"/>
                <w:szCs w:val="21"/>
                <w:u w:val="none"/>
              </w:rPr>
              <w:t>.用纸箱存放化学药品；</w:t>
            </w:r>
            <w:r>
              <w:rPr>
                <w:rFonts w:hint="eastAsia"/>
                <w:b w:val="0"/>
                <w:bCs w:val="0"/>
                <w:color w:val="000000"/>
                <w:szCs w:val="21"/>
                <w:u w:val="none"/>
              </w:rPr>
              <w:br w:type="textWrapping"/>
            </w:r>
            <w:r>
              <w:rPr>
                <w:rFonts w:hint="eastAsia"/>
                <w:b w:val="0"/>
                <w:bCs w:val="0"/>
                <w:color w:val="000000"/>
                <w:szCs w:val="21"/>
                <w:u w:val="none"/>
              </w:rPr>
              <w:t>1</w:t>
            </w:r>
            <w:r>
              <w:rPr>
                <w:rFonts w:hint="eastAsia"/>
                <w:b w:val="0"/>
                <w:bCs w:val="0"/>
                <w:color w:val="000000"/>
                <w:szCs w:val="21"/>
                <w:u w:val="none"/>
                <w:lang w:val="en-US" w:eastAsia="zh-CN"/>
              </w:rPr>
              <w:t>2</w:t>
            </w:r>
            <w:r>
              <w:rPr>
                <w:rFonts w:hint="eastAsia"/>
                <w:b w:val="0"/>
                <w:bCs w:val="0"/>
                <w:color w:val="000000"/>
                <w:szCs w:val="21"/>
                <w:u w:val="none"/>
              </w:rPr>
              <w:t>.药品盖子未旋紧，试剂柜气味大，有明显泄露痕迹；</w:t>
            </w:r>
            <w:r>
              <w:rPr>
                <w:rFonts w:hint="eastAsia"/>
                <w:b w:val="0"/>
                <w:bCs w:val="0"/>
                <w:color w:val="000000"/>
                <w:szCs w:val="21"/>
                <w:u w:val="none"/>
              </w:rPr>
              <w:br w:type="textWrapping"/>
            </w:r>
            <w:r>
              <w:rPr>
                <w:rFonts w:hint="eastAsia"/>
                <w:b w:val="0"/>
                <w:bCs w:val="0"/>
                <w:color w:val="000000"/>
                <w:szCs w:val="21"/>
                <w:u w:val="none"/>
              </w:rPr>
              <w:t>1</w:t>
            </w:r>
            <w:r>
              <w:rPr>
                <w:rFonts w:hint="eastAsia"/>
                <w:b w:val="0"/>
                <w:bCs w:val="0"/>
                <w:color w:val="000000"/>
                <w:szCs w:val="21"/>
                <w:u w:val="none"/>
                <w:lang w:val="en-US" w:eastAsia="zh-CN"/>
              </w:rPr>
              <w:t>3</w:t>
            </w:r>
            <w:r>
              <w:rPr>
                <w:rFonts w:hint="eastAsia"/>
                <w:b w:val="0"/>
                <w:bCs w:val="0"/>
                <w:color w:val="000000"/>
                <w:szCs w:val="21"/>
                <w:u w:val="none"/>
              </w:rPr>
              <w:t>.未及时清理长期未用药品，标签脱落/污损</w:t>
            </w:r>
            <w:r>
              <w:rPr>
                <w:rFonts w:hint="eastAsia"/>
                <w:b w:val="0"/>
                <w:bCs w:val="0"/>
                <w:color w:val="000000"/>
                <w:szCs w:val="21"/>
                <w:u w:val="none"/>
                <w:lang w:eastAsia="zh-CN"/>
              </w:rPr>
              <w:t>。</w:t>
            </w:r>
          </w:p>
        </w:tc>
        <w:tc>
          <w:tcPr>
            <w:tcW w:w="359" w:type="pct"/>
            <w:tcMar>
              <w:left w:w="45" w:type="dxa"/>
              <w:right w:w="45" w:type="dxa"/>
            </w:tcMar>
            <w:vAlign w:val="center"/>
          </w:tcPr>
          <w:p>
            <w:pPr>
              <w:jc w:val="center"/>
              <w:rPr>
                <w:bCs/>
                <w:kern w:val="0"/>
                <w:szCs w:val="21"/>
              </w:rPr>
            </w:pPr>
            <w:r>
              <w:rPr>
                <w:szCs w:val="21"/>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20</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实验室内须规范收集化学废弃物</w:t>
            </w:r>
          </w:p>
        </w:tc>
        <w:tc>
          <w:tcPr>
            <w:tcW w:w="2993" w:type="pct"/>
            <w:tcMar>
              <w:left w:w="45" w:type="dxa"/>
              <w:right w:w="45" w:type="dxa"/>
            </w:tcMar>
            <w:vAlign w:val="center"/>
          </w:tcPr>
          <w:p>
            <w:pPr>
              <w:widowControl/>
              <w:numPr>
                <w:ilvl w:val="0"/>
                <w:numId w:val="0"/>
              </w:numPr>
              <w:jc w:val="left"/>
              <w:rPr>
                <w:rFonts w:ascii="宋体" w:cs="宋体"/>
                <w:kern w:val="0"/>
                <w:szCs w:val="21"/>
              </w:rPr>
            </w:pPr>
            <w:r>
              <w:rPr>
                <w:rFonts w:hint="eastAsia" w:ascii="宋体" w:cs="宋体"/>
                <w:kern w:val="0"/>
                <w:szCs w:val="21"/>
                <w:lang w:val="en-US" w:eastAsia="zh-CN"/>
              </w:rPr>
              <w:t>1.</w:t>
            </w:r>
            <w:r>
              <w:rPr>
                <w:rFonts w:hint="eastAsia" w:ascii="宋体" w:cs="宋体"/>
                <w:kern w:val="0"/>
                <w:szCs w:val="21"/>
              </w:rPr>
              <w:t>危险废物应按化学特性和危险特性，进行分类收集和暂存；</w:t>
            </w:r>
          </w:p>
          <w:p>
            <w:pPr>
              <w:widowControl/>
              <w:numPr>
                <w:ilvl w:val="0"/>
                <w:numId w:val="0"/>
              </w:numPr>
              <w:jc w:val="left"/>
              <w:rPr>
                <w:rFonts w:ascii="宋体" w:cs="宋体"/>
                <w:kern w:val="0"/>
                <w:szCs w:val="21"/>
              </w:rPr>
            </w:pPr>
            <w:r>
              <w:rPr>
                <w:rFonts w:hint="eastAsia" w:ascii="宋体" w:cs="宋体"/>
                <w:kern w:val="0"/>
                <w:szCs w:val="21"/>
                <w:lang w:val="en-US" w:eastAsia="zh-CN"/>
              </w:rPr>
              <w:t>2.</w:t>
            </w:r>
            <w:r>
              <w:rPr>
                <w:rFonts w:hint="eastAsia" w:ascii="宋体" w:cs="宋体"/>
                <w:kern w:val="0"/>
                <w:szCs w:val="21"/>
              </w:rPr>
              <w:t>废弃的化学试剂应存放在原试剂瓶中，保留原标签，并瓶口朝上放入专用固废箱中；</w:t>
            </w:r>
          </w:p>
          <w:p>
            <w:pPr>
              <w:widowControl/>
              <w:numPr>
                <w:ilvl w:val="0"/>
                <w:numId w:val="0"/>
              </w:numPr>
              <w:jc w:val="left"/>
              <w:rPr>
                <w:rFonts w:ascii="宋体" w:cs="宋体"/>
                <w:kern w:val="0"/>
                <w:szCs w:val="21"/>
              </w:rPr>
            </w:pPr>
            <w:r>
              <w:rPr>
                <w:rFonts w:hint="eastAsia" w:ascii="宋体" w:cs="宋体"/>
                <w:kern w:val="0"/>
                <w:szCs w:val="21"/>
                <w:lang w:val="en-US" w:eastAsia="zh-CN"/>
              </w:rPr>
              <w:t>3.</w:t>
            </w:r>
            <w:r>
              <w:rPr>
                <w:rFonts w:hint="eastAsia" w:ascii="宋体" w:cs="宋体"/>
                <w:kern w:val="0"/>
                <w:szCs w:val="21"/>
              </w:rPr>
              <w:t>针头等利器需放入利器盒中收集；废液应分类装入专用废液桶中，废液桶须满足耐腐蚀、抗溶剂、耐挤压、抗冲击的要求；</w:t>
            </w:r>
          </w:p>
          <w:p>
            <w:pPr>
              <w:widowControl/>
              <w:numPr>
                <w:ilvl w:val="0"/>
                <w:numId w:val="0"/>
              </w:numPr>
              <w:ind w:left="0" w:leftChars="0" w:firstLine="0" w:firstLineChars="0"/>
              <w:jc w:val="left"/>
              <w:rPr>
                <w:rFonts w:hint="eastAsia"/>
                <w:bCs/>
                <w:kern w:val="0"/>
                <w:szCs w:val="21"/>
              </w:rPr>
            </w:pPr>
            <w:r>
              <w:rPr>
                <w:rFonts w:hint="eastAsia" w:ascii="宋体" w:cs="宋体"/>
                <w:kern w:val="0"/>
                <w:szCs w:val="21"/>
                <w:lang w:val="en-US" w:eastAsia="zh-CN"/>
              </w:rPr>
              <w:t>4.</w:t>
            </w:r>
            <w:r>
              <w:rPr>
                <w:rFonts w:hint="eastAsia" w:ascii="宋体" w:cs="宋体"/>
                <w:kern w:val="0"/>
                <w:szCs w:val="21"/>
              </w:rPr>
              <w:t>所有实验室危险废物收集容器上须粘贴专用的标签。</w:t>
            </w:r>
            <w:r>
              <w:rPr>
                <w:rFonts w:hint="eastAsia" w:ascii="宋体" w:cs="宋体"/>
                <w:b/>
                <w:bCs/>
                <w:kern w:val="0"/>
                <w:szCs w:val="21"/>
                <w:u w:val="single"/>
              </w:rPr>
              <w:t>严禁将实验室危险废物直接排入下水道</w:t>
            </w:r>
            <w:r>
              <w:rPr>
                <w:rFonts w:hint="eastAsia" w:ascii="宋体" w:cs="宋体"/>
                <w:kern w:val="0"/>
                <w:szCs w:val="21"/>
              </w:rPr>
              <w:t>，严禁与生活垃圾、感染性废物或放射性废物等混装</w:t>
            </w:r>
          </w:p>
        </w:tc>
        <w:tc>
          <w:tcPr>
            <w:tcW w:w="359" w:type="pct"/>
            <w:tcMar>
              <w:left w:w="45" w:type="dxa"/>
              <w:right w:w="45" w:type="dxa"/>
            </w:tcMar>
            <w:vAlign w:val="center"/>
          </w:tcPr>
          <w:p>
            <w:pPr>
              <w:jc w:val="center"/>
              <w:rPr>
                <w:bCs/>
                <w:kern w:val="0"/>
                <w:szCs w:val="21"/>
              </w:rPr>
            </w:pPr>
            <w:r>
              <w:rPr>
                <w:szCs w:val="21"/>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 w:type="pct"/>
            <w:tcMar>
              <w:left w:w="45" w:type="dxa"/>
              <w:right w:w="45" w:type="dxa"/>
            </w:tcMar>
            <w:vAlign w:val="center"/>
          </w:tcPr>
          <w:p>
            <w:pPr>
              <w:widowControl/>
              <w:jc w:val="center"/>
              <w:rPr>
                <w:rFonts w:hint="default"/>
                <w:kern w:val="0"/>
                <w:szCs w:val="21"/>
                <w:lang w:val="en-US" w:eastAsia="zh-CN"/>
              </w:rPr>
            </w:pPr>
            <w:r>
              <w:rPr>
                <w:rFonts w:hint="eastAsia"/>
                <w:kern w:val="0"/>
                <w:szCs w:val="21"/>
                <w:lang w:val="en-US" w:eastAsia="zh-CN"/>
              </w:rPr>
              <w:t>21</w:t>
            </w:r>
          </w:p>
        </w:tc>
        <w:tc>
          <w:tcPr>
            <w:tcW w:w="1403" w:type="pct"/>
            <w:tcMar>
              <w:left w:w="45" w:type="dxa"/>
              <w:right w:w="45" w:type="dxa"/>
            </w:tcMar>
            <w:vAlign w:val="center"/>
          </w:tcPr>
          <w:p>
            <w:pPr>
              <w:widowControl/>
              <w:jc w:val="left"/>
              <w:rPr>
                <w:rFonts w:hint="eastAsia"/>
                <w:kern w:val="0"/>
                <w:szCs w:val="21"/>
              </w:rPr>
            </w:pPr>
            <w:r>
              <w:rPr>
                <w:rFonts w:hint="eastAsia"/>
                <w:kern w:val="0"/>
                <w:szCs w:val="21"/>
              </w:rPr>
              <w:t>做好有毒有害废气的处理和防护</w:t>
            </w:r>
          </w:p>
        </w:tc>
        <w:tc>
          <w:tcPr>
            <w:tcW w:w="2993" w:type="pct"/>
            <w:tcMar>
              <w:left w:w="45" w:type="dxa"/>
              <w:right w:w="45" w:type="dxa"/>
            </w:tcMar>
            <w:vAlign w:val="center"/>
          </w:tcPr>
          <w:p>
            <w:pPr>
              <w:widowControl/>
              <w:jc w:val="left"/>
              <w:rPr>
                <w:rFonts w:hint="eastAsia" w:ascii="宋体" w:cs="宋体"/>
                <w:kern w:val="0"/>
                <w:szCs w:val="21"/>
                <w:lang w:val="en-US" w:eastAsia="zh-CN"/>
              </w:rPr>
            </w:pPr>
            <w:r>
              <w:rPr>
                <w:rFonts w:hint="eastAsia"/>
                <w:color w:val="000000"/>
                <w:szCs w:val="21"/>
              </w:rPr>
              <w:t>1.对于产生有毒有害废气的实验，在通风柜中进行，并在实验装置尾端配有气体吸收装置；</w:t>
            </w:r>
            <w:r>
              <w:rPr>
                <w:rFonts w:hint="eastAsia"/>
                <w:color w:val="000000"/>
                <w:szCs w:val="21"/>
              </w:rPr>
              <w:br w:type="textWrapping"/>
            </w:r>
            <w:r>
              <w:rPr>
                <w:rFonts w:hint="eastAsia"/>
                <w:color w:val="000000"/>
                <w:szCs w:val="21"/>
              </w:rPr>
              <w:t>2.配备合适有效的呼吸器，并按要求保管好呼吸器</w:t>
            </w:r>
            <w:r>
              <w:rPr>
                <w:rFonts w:hint="eastAsia"/>
                <w:color w:val="000000"/>
                <w:szCs w:val="21"/>
                <w:lang w:eastAsia="zh-CN"/>
              </w:rPr>
              <w:t>。</w:t>
            </w:r>
          </w:p>
        </w:tc>
        <w:tc>
          <w:tcPr>
            <w:tcW w:w="359" w:type="pct"/>
            <w:tcMar>
              <w:left w:w="45" w:type="dxa"/>
              <w:right w:w="45" w:type="dxa"/>
            </w:tcMar>
            <w:vAlign w:val="center"/>
          </w:tcPr>
          <w:p>
            <w:pPr>
              <w:jc w:val="center"/>
              <w:rPr>
                <w:szCs w:val="21"/>
              </w:rPr>
            </w:pPr>
            <w:r>
              <w:rPr>
                <w:rFonts w:hint="eastAsia"/>
                <w:szCs w:val="21"/>
                <w:lang w:val="en-US" w:eastAsia="zh-CN"/>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43" w:type="pct"/>
            <w:tcMar>
              <w:left w:w="45" w:type="dxa"/>
              <w:right w:w="45" w:type="dxa"/>
            </w:tcMar>
            <w:vAlign w:val="center"/>
          </w:tcPr>
          <w:p>
            <w:pPr>
              <w:jc w:val="center"/>
              <w:rPr>
                <w:rFonts w:hint="default" w:eastAsia="等线"/>
                <w:szCs w:val="21"/>
                <w:lang w:val="en-US" w:eastAsia="zh-CN"/>
              </w:rPr>
            </w:pPr>
            <w:r>
              <w:rPr>
                <w:rFonts w:hint="eastAsia" w:eastAsia="等线"/>
                <w:szCs w:val="21"/>
                <w:lang w:val="en-US" w:eastAsia="zh-CN"/>
              </w:rPr>
              <w:t>22</w:t>
            </w:r>
          </w:p>
        </w:tc>
        <w:tc>
          <w:tcPr>
            <w:tcW w:w="1403" w:type="pct"/>
            <w:tcMar>
              <w:left w:w="45" w:type="dxa"/>
              <w:right w:w="45" w:type="dxa"/>
            </w:tcMar>
            <w:vAlign w:val="center"/>
          </w:tcPr>
          <w:p>
            <w:pPr>
              <w:rPr>
                <w:rFonts w:hint="eastAsia"/>
                <w:bCs/>
                <w:szCs w:val="21"/>
              </w:rPr>
            </w:pPr>
            <w:r>
              <w:rPr>
                <w:rFonts w:hint="eastAsia"/>
                <w:bCs/>
                <w:szCs w:val="21"/>
              </w:rPr>
              <w:t>实验室环境</w:t>
            </w:r>
          </w:p>
          <w:p>
            <w:pPr>
              <w:rPr>
                <w:rFonts w:hint="eastAsia" w:eastAsiaTheme="minorEastAsia"/>
                <w:bCs/>
                <w:szCs w:val="21"/>
                <w:lang w:eastAsia="zh-CN"/>
              </w:rPr>
            </w:pPr>
            <w:r>
              <w:rPr>
                <w:rFonts w:hint="eastAsia"/>
                <w:bCs/>
                <w:szCs w:val="21"/>
                <w:lang w:val="en-US" w:eastAsia="zh-CN"/>
              </w:rPr>
              <w:t xml:space="preserve"> </w:t>
            </w:r>
          </w:p>
          <w:p>
            <w:pPr>
              <w:jc w:val="left"/>
              <w:rPr>
                <w:rFonts w:hint="eastAsia" w:ascii="宋体" w:hAnsi="宋体" w:cs="宋体" w:eastAsiaTheme="minorEastAsia"/>
                <w:szCs w:val="21"/>
                <w:lang w:eastAsia="zh-CN"/>
              </w:rPr>
            </w:pPr>
            <w:r>
              <w:rPr>
                <w:rFonts w:hint="eastAsia"/>
                <w:szCs w:val="21"/>
                <w:lang w:val="en-US" w:eastAsia="zh-CN"/>
              </w:rPr>
              <w:t xml:space="preserve"> </w:t>
            </w:r>
          </w:p>
        </w:tc>
        <w:tc>
          <w:tcPr>
            <w:tcW w:w="2993" w:type="pct"/>
            <w:tcMar>
              <w:left w:w="45" w:type="dxa"/>
              <w:right w:w="45" w:type="dxa"/>
            </w:tcMar>
            <w:vAlign w:val="center"/>
          </w:tcPr>
          <w:p>
            <w:pPr>
              <w:jc w:val="left"/>
              <w:rPr>
                <w:rFonts w:hint="eastAsia"/>
                <w:szCs w:val="21"/>
              </w:rPr>
            </w:pPr>
            <w:r>
              <w:rPr>
                <w:rFonts w:hint="eastAsia"/>
                <w:szCs w:val="21"/>
                <w:lang w:val="en-US" w:eastAsia="zh-CN"/>
              </w:rPr>
              <w:t>1.</w:t>
            </w:r>
            <w:r>
              <w:rPr>
                <w:rFonts w:hint="eastAsia"/>
                <w:szCs w:val="21"/>
              </w:rPr>
              <w:t>实验室物品摆放有序，卫生状况良好，实验完毕物品归位，无废弃物品、不放无关物品</w:t>
            </w:r>
            <w:r>
              <w:rPr>
                <w:rFonts w:hint="eastAsia"/>
                <w:szCs w:val="21"/>
                <w:lang w:eastAsia="zh-CN"/>
              </w:rPr>
              <w:t>；</w:t>
            </w:r>
            <w:r>
              <w:rPr>
                <w:kern w:val="0"/>
                <w:szCs w:val="21"/>
              </w:rPr>
              <w:t xml:space="preserve"> </w:t>
            </w:r>
          </w:p>
          <w:p>
            <w:pPr>
              <w:jc w:val="left"/>
              <w:rPr>
                <w:kern w:val="0"/>
                <w:szCs w:val="21"/>
              </w:rPr>
            </w:pPr>
            <w:r>
              <w:rPr>
                <w:rFonts w:hint="eastAsia"/>
                <w:kern w:val="0"/>
                <w:szCs w:val="21"/>
                <w:lang w:val="en-US" w:eastAsia="zh-CN"/>
              </w:rPr>
              <w:t>2</w:t>
            </w:r>
            <w:r>
              <w:rPr>
                <w:rFonts w:hint="eastAsia"/>
                <w:kern w:val="0"/>
                <w:szCs w:val="21"/>
              </w:rPr>
              <w:t>.不在实验室睡觉以及过夜，不存放和烧煮食物、饮食；</w:t>
            </w:r>
          </w:p>
          <w:p>
            <w:pPr>
              <w:jc w:val="left"/>
              <w:rPr>
                <w:kern w:val="0"/>
                <w:szCs w:val="21"/>
              </w:rPr>
            </w:pPr>
            <w:r>
              <w:rPr>
                <w:rFonts w:hint="eastAsia"/>
                <w:kern w:val="0"/>
                <w:szCs w:val="21"/>
                <w:lang w:val="en-US" w:eastAsia="zh-CN"/>
              </w:rPr>
              <w:t>3</w:t>
            </w:r>
            <w:r>
              <w:rPr>
                <w:rFonts w:hint="eastAsia"/>
                <w:kern w:val="0"/>
                <w:szCs w:val="21"/>
              </w:rPr>
              <w:t>.不使用可燃性蚊香；</w:t>
            </w:r>
          </w:p>
          <w:p>
            <w:pPr>
              <w:jc w:val="left"/>
              <w:rPr>
                <w:szCs w:val="21"/>
              </w:rPr>
            </w:pPr>
            <w:r>
              <w:rPr>
                <w:rFonts w:hint="eastAsia"/>
                <w:kern w:val="0"/>
                <w:szCs w:val="21"/>
                <w:lang w:val="en-US" w:eastAsia="zh-CN"/>
              </w:rPr>
              <w:t>4</w:t>
            </w:r>
            <w:r>
              <w:rPr>
                <w:rFonts w:hint="eastAsia"/>
                <w:kern w:val="0"/>
                <w:szCs w:val="21"/>
              </w:rPr>
              <w:t>.实验室内服务器和计算机台面不放食物、水杯；</w:t>
            </w:r>
          </w:p>
          <w:p>
            <w:pPr>
              <w:jc w:val="left"/>
              <w:rPr>
                <w:kern w:val="0"/>
                <w:szCs w:val="21"/>
              </w:rPr>
            </w:pPr>
            <w:r>
              <w:rPr>
                <w:rFonts w:hint="eastAsia"/>
                <w:kern w:val="0"/>
                <w:szCs w:val="21"/>
                <w:lang w:val="en-US" w:eastAsia="zh-CN"/>
              </w:rPr>
              <w:t>5</w:t>
            </w:r>
            <w:r>
              <w:rPr>
                <w:rFonts w:hint="eastAsia"/>
                <w:kern w:val="0"/>
                <w:szCs w:val="21"/>
              </w:rPr>
              <w:t>.实验期间有值日；</w:t>
            </w:r>
          </w:p>
          <w:p>
            <w:pPr>
              <w:jc w:val="left"/>
              <w:rPr>
                <w:color w:val="000000"/>
                <w:kern w:val="0"/>
                <w:szCs w:val="21"/>
              </w:rPr>
            </w:pPr>
            <w:r>
              <w:rPr>
                <w:rFonts w:hint="eastAsia"/>
                <w:kern w:val="0"/>
                <w:szCs w:val="21"/>
                <w:lang w:val="en-US" w:eastAsia="zh-CN"/>
              </w:rPr>
              <w:t>6</w:t>
            </w:r>
            <w:r>
              <w:rPr>
                <w:rFonts w:hint="eastAsia"/>
                <w:kern w:val="0"/>
                <w:szCs w:val="21"/>
              </w:rPr>
              <w:t>.垃圾桶及时清理；</w:t>
            </w:r>
          </w:p>
          <w:p>
            <w:pPr>
              <w:widowControl/>
              <w:jc w:val="left"/>
              <w:rPr>
                <w:color w:val="000000"/>
                <w:kern w:val="0"/>
                <w:szCs w:val="21"/>
              </w:rPr>
            </w:pPr>
            <w:r>
              <w:rPr>
                <w:rFonts w:hint="eastAsia"/>
                <w:color w:val="000000"/>
                <w:kern w:val="0"/>
                <w:szCs w:val="21"/>
                <w:lang w:val="en-US" w:eastAsia="zh-CN"/>
              </w:rPr>
              <w:t>7</w:t>
            </w:r>
            <w:r>
              <w:rPr>
                <w:rFonts w:hint="eastAsia"/>
                <w:color w:val="000000"/>
                <w:kern w:val="0"/>
                <w:szCs w:val="21"/>
              </w:rPr>
              <w:t>.实验室气味太重，不注意通风设施的使用；</w:t>
            </w:r>
          </w:p>
          <w:p>
            <w:pPr>
              <w:widowControl/>
              <w:jc w:val="left"/>
              <w:rPr>
                <w:color w:val="000000"/>
                <w:kern w:val="0"/>
                <w:szCs w:val="21"/>
              </w:rPr>
            </w:pPr>
            <w:r>
              <w:rPr>
                <w:rFonts w:hint="eastAsia"/>
                <w:color w:val="000000"/>
                <w:kern w:val="0"/>
                <w:szCs w:val="21"/>
                <w:lang w:val="en-US" w:eastAsia="zh-CN"/>
              </w:rPr>
              <w:t>8</w:t>
            </w:r>
            <w:r>
              <w:rPr>
                <w:rFonts w:hint="eastAsia"/>
                <w:color w:val="000000"/>
                <w:kern w:val="0"/>
                <w:szCs w:val="21"/>
              </w:rPr>
              <w:t>.通风橱未使用时玻璃门没有关闭；</w:t>
            </w:r>
          </w:p>
          <w:p>
            <w:pPr>
              <w:jc w:val="left"/>
              <w:rPr>
                <w:rFonts w:hint="eastAsia"/>
                <w:kern w:val="0"/>
                <w:szCs w:val="21"/>
              </w:rPr>
            </w:pPr>
            <w:r>
              <w:rPr>
                <w:rFonts w:hint="eastAsia"/>
                <w:color w:val="000000"/>
                <w:kern w:val="0"/>
                <w:szCs w:val="21"/>
                <w:lang w:val="en-US" w:eastAsia="zh-CN"/>
              </w:rPr>
              <w:t>9</w:t>
            </w:r>
            <w:r>
              <w:rPr>
                <w:rFonts w:hint="eastAsia"/>
                <w:color w:val="000000"/>
                <w:kern w:val="0"/>
                <w:szCs w:val="21"/>
              </w:rPr>
              <w:t>.通风橱内存放杂物、纸箱等物品</w:t>
            </w:r>
            <w:r>
              <w:rPr>
                <w:rFonts w:hint="eastAsia"/>
                <w:color w:val="000000"/>
                <w:kern w:val="0"/>
                <w:szCs w:val="21"/>
                <w:lang w:eastAsia="zh-CN"/>
              </w:rPr>
              <w:t>。</w:t>
            </w:r>
          </w:p>
        </w:tc>
        <w:tc>
          <w:tcPr>
            <w:tcW w:w="359" w:type="pct"/>
            <w:tcMar>
              <w:left w:w="45" w:type="dxa"/>
              <w:right w:w="45" w:type="dxa"/>
            </w:tcMar>
            <w:vAlign w:val="center"/>
          </w:tcPr>
          <w:p>
            <w:pPr>
              <w:jc w:val="center"/>
              <w:rPr>
                <w:bCs/>
                <w:szCs w:val="21"/>
              </w:rPr>
            </w:pPr>
            <w:r>
              <w:rPr>
                <w:rFonts w:hint="eastAsia"/>
                <w:bCs/>
                <w:szCs w:val="21"/>
                <w:lang w:val="en-US" w:eastAsia="zh-CN"/>
              </w:rPr>
              <w:t>1</w:t>
            </w:r>
            <w:r>
              <w:rPr>
                <w:rFonts w:hint="eastAsia"/>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 w:type="pct"/>
            <w:tcMar>
              <w:left w:w="45" w:type="dxa"/>
              <w:right w:w="45" w:type="dxa"/>
            </w:tcMar>
            <w:vAlign w:val="center"/>
          </w:tcPr>
          <w:p>
            <w:pPr>
              <w:widowControl/>
              <w:jc w:val="center"/>
              <w:rPr>
                <w:rFonts w:hint="default" w:eastAsiaTheme="minorEastAsia"/>
                <w:kern w:val="0"/>
                <w:szCs w:val="21"/>
                <w:lang w:val="en-US" w:eastAsia="zh-CN"/>
              </w:rPr>
            </w:pPr>
            <w:r>
              <w:rPr>
                <w:rFonts w:hint="eastAsia"/>
                <w:kern w:val="0"/>
                <w:szCs w:val="21"/>
                <w:lang w:val="en-US" w:eastAsia="zh-CN"/>
              </w:rPr>
              <w:t>23</w:t>
            </w:r>
          </w:p>
        </w:tc>
        <w:tc>
          <w:tcPr>
            <w:tcW w:w="1403" w:type="pct"/>
            <w:tcMar>
              <w:left w:w="45" w:type="dxa"/>
              <w:right w:w="45" w:type="dxa"/>
            </w:tcMar>
            <w:vAlign w:val="center"/>
          </w:tcPr>
          <w:p>
            <w:pPr>
              <w:widowControl/>
              <w:jc w:val="left"/>
              <w:rPr>
                <w:kern w:val="0"/>
                <w:szCs w:val="21"/>
              </w:rPr>
            </w:pPr>
            <w:r>
              <w:rPr>
                <w:rFonts w:hint="eastAsia"/>
                <w:kern w:val="0"/>
                <w:szCs w:val="21"/>
              </w:rPr>
              <w:t>实验室用电安全</w:t>
            </w:r>
          </w:p>
        </w:tc>
        <w:tc>
          <w:tcPr>
            <w:tcW w:w="2993" w:type="pct"/>
            <w:tcMar>
              <w:left w:w="45" w:type="dxa"/>
              <w:right w:w="45" w:type="dxa"/>
            </w:tcMar>
            <w:vAlign w:val="center"/>
          </w:tcPr>
          <w:p>
            <w:pPr>
              <w:rPr>
                <w:kern w:val="0"/>
                <w:szCs w:val="21"/>
              </w:rPr>
            </w:pPr>
            <w:r>
              <w:rPr>
                <w:rFonts w:hint="eastAsia"/>
                <w:kern w:val="0"/>
                <w:szCs w:val="21"/>
              </w:rPr>
              <w:t>1.电源插座和开关箱与水源、易燃易爆品之间距离不合理；</w:t>
            </w:r>
          </w:p>
          <w:p>
            <w:pPr>
              <w:rPr>
                <w:kern w:val="0"/>
                <w:szCs w:val="21"/>
              </w:rPr>
            </w:pPr>
            <w:r>
              <w:rPr>
                <w:rFonts w:hint="eastAsia"/>
                <w:kern w:val="0"/>
                <w:szCs w:val="21"/>
              </w:rPr>
              <w:t>2.线缆与热源、酸碱腐蚀品等之间距离不合理；</w:t>
            </w:r>
          </w:p>
          <w:p>
            <w:pPr>
              <w:rPr>
                <w:kern w:val="0"/>
                <w:szCs w:val="21"/>
              </w:rPr>
            </w:pPr>
            <w:r>
              <w:rPr>
                <w:rFonts w:hint="eastAsia"/>
                <w:kern w:val="0"/>
                <w:szCs w:val="21"/>
              </w:rPr>
              <w:t>3.线缆存在空中飞线等乱拉乱接现象；</w:t>
            </w:r>
          </w:p>
          <w:p>
            <w:pPr>
              <w:rPr>
                <w:kern w:val="0"/>
                <w:szCs w:val="21"/>
              </w:rPr>
            </w:pPr>
            <w:r>
              <w:rPr>
                <w:rFonts w:hint="eastAsia"/>
                <w:kern w:val="0"/>
                <w:szCs w:val="21"/>
              </w:rPr>
              <w:t>4.线缆与线缆、电源插座等之间的连接不规范；</w:t>
            </w:r>
          </w:p>
          <w:p>
            <w:pPr>
              <w:rPr>
                <w:kern w:val="0"/>
                <w:szCs w:val="21"/>
              </w:rPr>
            </w:pPr>
            <w:r>
              <w:rPr>
                <w:rFonts w:hint="eastAsia"/>
                <w:kern w:val="0"/>
                <w:szCs w:val="21"/>
              </w:rPr>
              <w:t>5.使用老化的线缆、花线和木质的配电板；</w:t>
            </w:r>
          </w:p>
          <w:p>
            <w:pPr>
              <w:rPr>
                <w:kern w:val="0"/>
                <w:szCs w:val="21"/>
              </w:rPr>
            </w:pPr>
            <w:r>
              <w:rPr>
                <w:rFonts w:hint="eastAsia"/>
                <w:kern w:val="0"/>
                <w:szCs w:val="21"/>
              </w:rPr>
              <w:t>6.线缆及电源插座规格不能满足用电设备要求；</w:t>
            </w:r>
          </w:p>
          <w:p>
            <w:pPr>
              <w:rPr>
                <w:kern w:val="0"/>
                <w:szCs w:val="21"/>
              </w:rPr>
            </w:pPr>
            <w:r>
              <w:rPr>
                <w:rFonts w:hint="eastAsia"/>
                <w:kern w:val="0"/>
                <w:szCs w:val="21"/>
              </w:rPr>
              <w:t>7.线缆穿越通道未有盖板或护套保护；</w:t>
            </w:r>
          </w:p>
          <w:p>
            <w:pPr>
              <w:rPr>
                <w:kern w:val="0"/>
                <w:szCs w:val="21"/>
              </w:rPr>
            </w:pPr>
            <w:r>
              <w:rPr>
                <w:rFonts w:hint="eastAsia"/>
                <w:kern w:val="0"/>
                <w:szCs w:val="21"/>
              </w:rPr>
              <w:t>8.地面走线没有使用线槽做保护；</w:t>
            </w:r>
          </w:p>
          <w:p>
            <w:pPr>
              <w:rPr>
                <w:kern w:val="0"/>
                <w:szCs w:val="21"/>
              </w:rPr>
            </w:pPr>
            <w:r>
              <w:rPr>
                <w:rFonts w:hint="eastAsia"/>
                <w:kern w:val="0"/>
                <w:szCs w:val="21"/>
              </w:rPr>
              <w:t>9.</w:t>
            </w:r>
            <w:r>
              <w:rPr>
                <w:rFonts w:hint="eastAsia"/>
                <w:b/>
                <w:bCs/>
                <w:kern w:val="0"/>
                <w:szCs w:val="21"/>
                <w:u w:val="single"/>
              </w:rPr>
              <w:t>接线板之间串联供电</w:t>
            </w:r>
            <w:r>
              <w:rPr>
                <w:rFonts w:hint="eastAsia"/>
                <w:kern w:val="0"/>
                <w:szCs w:val="21"/>
              </w:rPr>
              <w:t>；</w:t>
            </w:r>
          </w:p>
          <w:p>
            <w:pPr>
              <w:rPr>
                <w:kern w:val="0"/>
                <w:szCs w:val="21"/>
              </w:rPr>
            </w:pPr>
            <w:r>
              <w:rPr>
                <w:rFonts w:hint="eastAsia"/>
                <w:kern w:val="0"/>
                <w:szCs w:val="21"/>
              </w:rPr>
              <w:t>10.使用新国标接线板，</w:t>
            </w:r>
            <w:r>
              <w:rPr>
                <w:rFonts w:hint="eastAsia"/>
                <w:b/>
                <w:bCs/>
                <w:kern w:val="0"/>
                <w:szCs w:val="21"/>
                <w:u w:val="single"/>
              </w:rPr>
              <w:t>接线板不得落地</w:t>
            </w:r>
            <w:r>
              <w:rPr>
                <w:rFonts w:hint="eastAsia"/>
                <w:kern w:val="0"/>
                <w:szCs w:val="21"/>
              </w:rPr>
              <w:t>；</w:t>
            </w:r>
          </w:p>
          <w:p>
            <w:pPr>
              <w:rPr>
                <w:kern w:val="0"/>
                <w:szCs w:val="21"/>
              </w:rPr>
            </w:pPr>
            <w:r>
              <w:rPr>
                <w:rFonts w:hint="eastAsia"/>
                <w:kern w:val="0"/>
                <w:szCs w:val="21"/>
              </w:rPr>
              <w:t>11.使用有破损的电源插线板；</w:t>
            </w:r>
          </w:p>
          <w:p>
            <w:pPr>
              <w:rPr>
                <w:kern w:val="0"/>
                <w:szCs w:val="21"/>
              </w:rPr>
            </w:pPr>
            <w:r>
              <w:rPr>
                <w:rFonts w:hint="eastAsia"/>
                <w:kern w:val="0"/>
                <w:szCs w:val="21"/>
              </w:rPr>
              <w:t>12.电源插座使用非国标产品（因电器设备插头原因，无法使用国标产品，应在满足用电需求的情况下选择与电器设备插头标准一致的插座或转换器）；</w:t>
            </w:r>
          </w:p>
          <w:p>
            <w:pPr>
              <w:rPr>
                <w:kern w:val="0"/>
                <w:szCs w:val="21"/>
              </w:rPr>
            </w:pPr>
            <w:r>
              <w:rPr>
                <w:rFonts w:hint="eastAsia"/>
                <w:kern w:val="0"/>
                <w:szCs w:val="21"/>
              </w:rPr>
              <w:t>13.大功率设备未配备独立的开关箱（或独立电源箱）;</w:t>
            </w:r>
          </w:p>
          <w:p>
            <w:pPr>
              <w:rPr>
                <w:kern w:val="0"/>
                <w:szCs w:val="21"/>
              </w:rPr>
            </w:pPr>
            <w:r>
              <w:rPr>
                <w:rFonts w:hint="eastAsia"/>
                <w:kern w:val="0"/>
                <w:szCs w:val="21"/>
              </w:rPr>
              <w:t>14.试验结束，人走时设备未断电；</w:t>
            </w:r>
          </w:p>
          <w:p>
            <w:pPr>
              <w:rPr>
                <w:rFonts w:hint="eastAsia" w:eastAsiaTheme="minorEastAsia"/>
                <w:bCs/>
                <w:kern w:val="0"/>
                <w:szCs w:val="21"/>
                <w:lang w:eastAsia="zh-CN"/>
              </w:rPr>
            </w:pPr>
            <w:r>
              <w:rPr>
                <w:rFonts w:hint="eastAsia"/>
                <w:kern w:val="0"/>
                <w:szCs w:val="21"/>
              </w:rPr>
              <w:t>15.电吹风类设备使用完毕后未拔出电源</w:t>
            </w:r>
            <w:r>
              <w:rPr>
                <w:rFonts w:hint="eastAsia"/>
                <w:kern w:val="0"/>
                <w:szCs w:val="21"/>
                <w:lang w:eastAsia="zh-CN"/>
              </w:rPr>
              <w:t>。</w:t>
            </w:r>
          </w:p>
        </w:tc>
        <w:tc>
          <w:tcPr>
            <w:tcW w:w="359" w:type="pct"/>
            <w:tcMar>
              <w:left w:w="45" w:type="dxa"/>
              <w:right w:w="45" w:type="dxa"/>
            </w:tcMar>
            <w:vAlign w:val="center"/>
          </w:tcPr>
          <w:p>
            <w:pPr>
              <w:widowControl/>
              <w:jc w:val="center"/>
              <w:rPr>
                <w:bCs/>
                <w:kern w:val="0"/>
                <w:szCs w:val="21"/>
              </w:rPr>
            </w:pPr>
            <w:r>
              <w:rPr>
                <w:rFonts w:hint="eastAsia"/>
                <w:bCs/>
                <w:szCs w:val="21"/>
                <w:lang w:val="en-US" w:eastAsia="zh-CN"/>
              </w:rPr>
              <w:t>1</w:t>
            </w:r>
            <w:r>
              <w:rPr>
                <w:rFonts w:hint="eastAsia"/>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3" w:type="pct"/>
            <w:tcMar>
              <w:left w:w="45" w:type="dxa"/>
              <w:right w:w="45" w:type="dxa"/>
            </w:tcMar>
            <w:vAlign w:val="center"/>
          </w:tcPr>
          <w:p>
            <w:pPr>
              <w:widowControl/>
              <w:jc w:val="center"/>
              <w:rPr>
                <w:rFonts w:hint="default" w:eastAsiaTheme="minorEastAsia"/>
                <w:kern w:val="0"/>
                <w:szCs w:val="21"/>
                <w:lang w:val="en-US" w:eastAsia="zh-CN"/>
              </w:rPr>
            </w:pPr>
            <w:r>
              <w:rPr>
                <w:rFonts w:hint="eastAsia"/>
                <w:kern w:val="0"/>
                <w:szCs w:val="21"/>
                <w:lang w:val="en-US" w:eastAsia="zh-CN"/>
              </w:rPr>
              <w:t>24</w:t>
            </w:r>
          </w:p>
        </w:tc>
        <w:tc>
          <w:tcPr>
            <w:tcW w:w="1403" w:type="pct"/>
            <w:tcMar>
              <w:left w:w="45" w:type="dxa"/>
              <w:right w:w="45" w:type="dxa"/>
            </w:tcMar>
            <w:vAlign w:val="center"/>
          </w:tcPr>
          <w:p>
            <w:pPr>
              <w:widowControl/>
              <w:rPr>
                <w:kern w:val="0"/>
                <w:szCs w:val="21"/>
              </w:rPr>
            </w:pPr>
            <w:r>
              <w:rPr>
                <w:rFonts w:hint="eastAsia"/>
                <w:kern w:val="0"/>
                <w:szCs w:val="21"/>
              </w:rPr>
              <w:t>实验人员配备合适的个人防护用品</w:t>
            </w:r>
          </w:p>
        </w:tc>
        <w:tc>
          <w:tcPr>
            <w:tcW w:w="2993" w:type="pct"/>
            <w:tcMar>
              <w:left w:w="45" w:type="dxa"/>
              <w:right w:w="45" w:type="dxa"/>
            </w:tcMar>
            <w:vAlign w:val="center"/>
          </w:tcPr>
          <w:p>
            <w:pPr>
              <w:widowControl/>
              <w:jc w:val="left"/>
              <w:rPr>
                <w:kern w:val="0"/>
                <w:szCs w:val="21"/>
              </w:rPr>
            </w:pPr>
            <w:r>
              <w:rPr>
                <w:rFonts w:hint="eastAsia"/>
                <w:kern w:val="0"/>
                <w:szCs w:val="21"/>
              </w:rPr>
              <w:t>1.</w:t>
            </w:r>
            <w:r>
              <w:rPr>
                <w:rFonts w:hint="eastAsia"/>
                <w:b/>
                <w:bCs/>
                <w:kern w:val="0"/>
                <w:szCs w:val="21"/>
                <w:u w:val="single"/>
              </w:rPr>
              <w:t>凡进入实验室人员需穿着质地合适的实验服或防护服</w:t>
            </w:r>
            <w:r>
              <w:rPr>
                <w:rFonts w:hint="eastAsia"/>
                <w:kern w:val="0"/>
                <w:szCs w:val="21"/>
              </w:rPr>
              <w:t>；</w:t>
            </w:r>
          </w:p>
          <w:p>
            <w:pPr>
              <w:widowControl/>
              <w:jc w:val="left"/>
              <w:rPr>
                <w:kern w:val="0"/>
                <w:szCs w:val="21"/>
              </w:rPr>
            </w:pPr>
            <w:r>
              <w:rPr>
                <w:rFonts w:hint="eastAsia"/>
                <w:kern w:val="0"/>
                <w:szCs w:val="21"/>
              </w:rPr>
              <w:t>2.按需要佩戴防护眼镜、防护手套、安全帽、防护帽、呼吸器或面罩（呼吸器或面罩在有效期内，不用时须密封放置）等；</w:t>
            </w:r>
          </w:p>
          <w:p>
            <w:pPr>
              <w:widowControl/>
              <w:jc w:val="left"/>
              <w:rPr>
                <w:kern w:val="0"/>
                <w:szCs w:val="21"/>
              </w:rPr>
            </w:pPr>
            <w:r>
              <w:rPr>
                <w:rFonts w:hint="eastAsia"/>
                <w:kern w:val="0"/>
                <w:szCs w:val="21"/>
              </w:rPr>
              <w:t>3.进行化学、生物安全和高温实验时，不得佩戴隐形眼镜；</w:t>
            </w:r>
          </w:p>
          <w:p>
            <w:pPr>
              <w:widowControl/>
              <w:jc w:val="left"/>
              <w:rPr>
                <w:kern w:val="0"/>
                <w:szCs w:val="21"/>
              </w:rPr>
            </w:pPr>
            <w:r>
              <w:rPr>
                <w:rFonts w:hint="eastAsia"/>
                <w:kern w:val="0"/>
                <w:szCs w:val="21"/>
              </w:rPr>
              <w:t>4.操作机床等旋转设备时，女生要将长发束起，不穿戴长围巾、丝巾、领带等；</w:t>
            </w:r>
          </w:p>
          <w:p>
            <w:pPr>
              <w:widowControl/>
              <w:jc w:val="left"/>
              <w:rPr>
                <w:kern w:val="0"/>
                <w:szCs w:val="21"/>
              </w:rPr>
            </w:pPr>
            <w:r>
              <w:rPr>
                <w:rFonts w:hint="eastAsia"/>
                <w:kern w:val="0"/>
                <w:szCs w:val="21"/>
              </w:rPr>
              <w:t>5.穿着化学、生物类实验服或戴实验手套，不得随意进入非实验区；</w:t>
            </w:r>
          </w:p>
          <w:p>
            <w:pPr>
              <w:widowControl/>
              <w:jc w:val="left"/>
              <w:rPr>
                <w:rFonts w:hint="eastAsia" w:eastAsiaTheme="minorEastAsia"/>
                <w:b/>
                <w:bCs/>
                <w:kern w:val="0"/>
                <w:szCs w:val="21"/>
                <w:u w:val="single"/>
                <w:lang w:val="en-US" w:eastAsia="zh-CN"/>
              </w:rPr>
            </w:pPr>
            <w:r>
              <w:rPr>
                <w:rFonts w:hint="eastAsia"/>
                <w:b/>
                <w:bCs/>
                <w:kern w:val="0"/>
                <w:szCs w:val="21"/>
                <w:u w:val="single"/>
              </w:rPr>
              <w:t>6.不得穿短裤，拖鞋进入实验室</w:t>
            </w:r>
            <w:r>
              <w:rPr>
                <w:rFonts w:hint="eastAsia"/>
                <w:b/>
                <w:bCs/>
                <w:kern w:val="0"/>
                <w:szCs w:val="21"/>
                <w:u w:val="single"/>
                <w:lang w:val="en-US" w:eastAsia="zh-CN"/>
              </w:rPr>
              <w:t>;</w:t>
            </w:r>
          </w:p>
          <w:p>
            <w:pPr>
              <w:widowControl/>
              <w:jc w:val="left"/>
              <w:rPr>
                <w:rFonts w:hint="eastAsia" w:eastAsiaTheme="minorEastAsia"/>
                <w:b/>
                <w:bCs/>
                <w:kern w:val="0"/>
                <w:szCs w:val="21"/>
                <w:u w:val="single"/>
                <w:lang w:val="en-US" w:eastAsia="zh-CN"/>
              </w:rPr>
            </w:pPr>
            <w:r>
              <w:rPr>
                <w:rFonts w:hint="eastAsia"/>
                <w:b w:val="0"/>
                <w:bCs w:val="0"/>
                <w:kern w:val="0"/>
                <w:szCs w:val="21"/>
                <w:u w:val="none"/>
                <w:lang w:val="en-US" w:eastAsia="zh-CN"/>
              </w:rPr>
              <w:t>7.</w:t>
            </w:r>
            <w:r>
              <w:rPr>
                <w:rFonts w:hint="eastAsia"/>
                <w:kern w:val="0"/>
                <w:szCs w:val="21"/>
              </w:rPr>
              <w:t>不使用破损量筒、试管、移液管等玻璃器皿</w:t>
            </w:r>
            <w:r>
              <w:rPr>
                <w:rFonts w:hint="eastAsia"/>
                <w:kern w:val="0"/>
                <w:szCs w:val="21"/>
                <w:lang w:eastAsia="zh-CN"/>
              </w:rPr>
              <w:t>。</w:t>
            </w:r>
          </w:p>
        </w:tc>
        <w:tc>
          <w:tcPr>
            <w:tcW w:w="359" w:type="pct"/>
            <w:tcMar>
              <w:left w:w="45" w:type="dxa"/>
              <w:right w:w="45" w:type="dxa"/>
            </w:tcMar>
            <w:vAlign w:val="center"/>
          </w:tcPr>
          <w:p>
            <w:pPr>
              <w:widowControl/>
              <w:jc w:val="center"/>
              <w:rPr>
                <w:bCs/>
                <w:kern w:val="0"/>
                <w:szCs w:val="21"/>
              </w:rPr>
            </w:pPr>
            <w:r>
              <w:rPr>
                <w:rFonts w:hint="eastAsia"/>
                <w:bCs/>
                <w:szCs w:val="21"/>
                <w:lang w:val="en-US" w:eastAsia="zh-CN"/>
              </w:rPr>
              <w:t>1</w:t>
            </w:r>
            <w:r>
              <w:rPr>
                <w:rFonts w:hint="eastAsia"/>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43" w:type="pct"/>
            <w:tcMar>
              <w:left w:w="45" w:type="dxa"/>
              <w:right w:w="45" w:type="dxa"/>
            </w:tcMar>
            <w:vAlign w:val="center"/>
          </w:tcPr>
          <w:p>
            <w:pPr>
              <w:widowControl/>
              <w:jc w:val="center"/>
              <w:rPr>
                <w:rFonts w:hint="default" w:eastAsiaTheme="minorEastAsia"/>
                <w:kern w:val="0"/>
                <w:szCs w:val="21"/>
                <w:lang w:val="en-US" w:eastAsia="zh-CN"/>
              </w:rPr>
            </w:pPr>
            <w:r>
              <w:rPr>
                <w:rFonts w:hint="eastAsia"/>
                <w:kern w:val="0"/>
                <w:szCs w:val="21"/>
                <w:lang w:val="en-US" w:eastAsia="zh-CN"/>
              </w:rPr>
              <w:t>25</w:t>
            </w:r>
          </w:p>
        </w:tc>
        <w:tc>
          <w:tcPr>
            <w:tcW w:w="1403" w:type="pct"/>
            <w:tcMar>
              <w:left w:w="45" w:type="dxa"/>
              <w:right w:w="45" w:type="dxa"/>
            </w:tcMar>
            <w:vAlign w:val="center"/>
          </w:tcPr>
          <w:p>
            <w:pPr>
              <w:widowControl/>
              <w:jc w:val="left"/>
              <w:rPr>
                <w:rFonts w:hint="eastAsia" w:eastAsiaTheme="minorEastAsia"/>
                <w:kern w:val="0"/>
                <w:szCs w:val="21"/>
                <w:lang w:val="en-US" w:eastAsia="zh-CN"/>
              </w:rPr>
            </w:pPr>
            <w:r>
              <w:rPr>
                <w:rFonts w:hint="eastAsia"/>
                <w:kern w:val="0"/>
                <w:szCs w:val="21"/>
              </w:rPr>
              <w:t>冰箱</w:t>
            </w:r>
            <w:r>
              <w:rPr>
                <w:rFonts w:hint="eastAsia"/>
                <w:kern w:val="0"/>
                <w:szCs w:val="21"/>
                <w:lang w:val="en-US" w:eastAsia="zh-CN"/>
              </w:rPr>
              <w:t>使用</w:t>
            </w:r>
          </w:p>
        </w:tc>
        <w:tc>
          <w:tcPr>
            <w:tcW w:w="2993" w:type="pct"/>
            <w:tcMar>
              <w:left w:w="45" w:type="dxa"/>
              <w:right w:w="45" w:type="dxa"/>
            </w:tcMar>
            <w:vAlign w:val="center"/>
          </w:tcPr>
          <w:p>
            <w:pPr>
              <w:widowControl/>
              <w:jc w:val="left"/>
              <w:rPr>
                <w:kern w:val="0"/>
                <w:szCs w:val="21"/>
              </w:rPr>
            </w:pPr>
            <w:r>
              <w:rPr>
                <w:rFonts w:hint="eastAsia"/>
                <w:kern w:val="0"/>
                <w:szCs w:val="21"/>
              </w:rPr>
              <w:t>1.存放的物品标识至少包括：名称、使用人、日期等，并经常清理；</w:t>
            </w:r>
          </w:p>
          <w:p>
            <w:pPr>
              <w:widowControl/>
              <w:jc w:val="left"/>
              <w:rPr>
                <w:kern w:val="0"/>
                <w:szCs w:val="21"/>
              </w:rPr>
            </w:pPr>
            <w:r>
              <w:rPr>
                <w:rFonts w:hint="eastAsia"/>
                <w:kern w:val="0"/>
                <w:szCs w:val="21"/>
              </w:rPr>
              <w:t xml:space="preserve">2.试剂瓶螺口拧紧，无开口容器； </w:t>
            </w:r>
          </w:p>
          <w:p>
            <w:pPr>
              <w:widowControl/>
              <w:jc w:val="left"/>
              <w:rPr>
                <w:kern w:val="0"/>
                <w:szCs w:val="21"/>
              </w:rPr>
            </w:pPr>
            <w:r>
              <w:rPr>
                <w:rFonts w:hint="eastAsia"/>
                <w:kern w:val="0"/>
                <w:szCs w:val="21"/>
              </w:rPr>
              <w:t>3.定期清理冰箱；</w:t>
            </w:r>
            <w:r>
              <w:rPr>
                <w:kern w:val="0"/>
                <w:szCs w:val="21"/>
              </w:rPr>
              <w:t xml:space="preserve"> </w:t>
            </w:r>
          </w:p>
          <w:p>
            <w:pPr>
              <w:widowControl/>
              <w:jc w:val="left"/>
              <w:rPr>
                <w:rFonts w:hint="eastAsia" w:eastAsiaTheme="minorEastAsia"/>
                <w:kern w:val="0"/>
                <w:szCs w:val="21"/>
                <w:lang w:val="en-US" w:eastAsia="zh-CN"/>
              </w:rPr>
            </w:pPr>
            <w:r>
              <w:rPr>
                <w:rFonts w:hint="eastAsia"/>
                <w:kern w:val="0"/>
                <w:szCs w:val="21"/>
                <w:lang w:val="en-US" w:eastAsia="zh-CN"/>
              </w:rPr>
              <w:t>4.</w:t>
            </w:r>
            <w:r>
              <w:rPr>
                <w:rFonts w:hint="eastAsia"/>
                <w:kern w:val="0"/>
                <w:szCs w:val="21"/>
              </w:rPr>
              <w:t>实验室冰箱中不放置非实验用食品和饮料</w:t>
            </w:r>
            <w:r>
              <w:rPr>
                <w:rFonts w:hint="eastAsia"/>
                <w:kern w:val="0"/>
                <w:szCs w:val="21"/>
                <w:lang w:eastAsia="zh-CN"/>
              </w:rPr>
              <w:t>。</w:t>
            </w:r>
          </w:p>
        </w:tc>
        <w:tc>
          <w:tcPr>
            <w:tcW w:w="359" w:type="pct"/>
            <w:tcMar>
              <w:left w:w="45" w:type="dxa"/>
              <w:right w:w="45" w:type="dxa"/>
            </w:tcMar>
            <w:vAlign w:val="center"/>
          </w:tcPr>
          <w:p>
            <w:pPr>
              <w:widowControl/>
              <w:jc w:val="center"/>
              <w:rPr>
                <w:bCs/>
                <w:kern w:val="0"/>
                <w:szCs w:val="21"/>
              </w:rPr>
            </w:pPr>
            <w:r>
              <w:rPr>
                <w:rFonts w:hint="eastAsia"/>
                <w:bCs/>
                <w:kern w:val="0"/>
                <w:szCs w:val="21"/>
                <w:lang w:val="en-US" w:eastAsia="zh-CN"/>
              </w:rPr>
              <w:t>1</w:t>
            </w:r>
            <w:r>
              <w:rPr>
                <w:rFonts w:hint="eastAsia"/>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243" w:type="pct"/>
            <w:tcMar>
              <w:left w:w="45" w:type="dxa"/>
              <w:right w:w="45" w:type="dxa"/>
            </w:tcMar>
            <w:vAlign w:val="center"/>
          </w:tcPr>
          <w:p>
            <w:pPr>
              <w:widowControl/>
              <w:jc w:val="center"/>
              <w:rPr>
                <w:rFonts w:hint="default" w:eastAsiaTheme="minorEastAsia"/>
                <w:kern w:val="0"/>
                <w:szCs w:val="21"/>
                <w:lang w:val="en-US" w:eastAsia="zh-CN"/>
              </w:rPr>
            </w:pPr>
            <w:r>
              <w:rPr>
                <w:rFonts w:hint="eastAsia"/>
                <w:kern w:val="0"/>
                <w:szCs w:val="21"/>
                <w:lang w:val="en-US" w:eastAsia="zh-CN"/>
              </w:rPr>
              <w:t>26</w:t>
            </w:r>
          </w:p>
        </w:tc>
        <w:tc>
          <w:tcPr>
            <w:tcW w:w="1403" w:type="pct"/>
            <w:tcMar>
              <w:left w:w="45" w:type="dxa"/>
              <w:right w:w="45" w:type="dxa"/>
            </w:tcMar>
            <w:vAlign w:val="center"/>
          </w:tcPr>
          <w:p>
            <w:pPr>
              <w:widowControl/>
              <w:jc w:val="left"/>
              <w:rPr>
                <w:kern w:val="0"/>
                <w:szCs w:val="21"/>
              </w:rPr>
            </w:pPr>
            <w:r>
              <w:rPr>
                <w:rFonts w:hint="eastAsia"/>
                <w:kern w:val="0"/>
                <w:szCs w:val="21"/>
              </w:rPr>
              <w:t>化学品</w:t>
            </w:r>
            <w:r>
              <w:rPr>
                <w:rFonts w:hint="eastAsia"/>
                <w:kern w:val="0"/>
                <w:szCs w:val="21"/>
                <w:lang w:eastAsia="zh-CN"/>
              </w:rPr>
              <w:t>、</w:t>
            </w:r>
            <w:r>
              <w:rPr>
                <w:rFonts w:hint="eastAsia"/>
                <w:kern w:val="0"/>
                <w:szCs w:val="21"/>
                <w:lang w:val="en-US" w:eastAsia="zh-CN"/>
              </w:rPr>
              <w:t>配制试剂</w:t>
            </w:r>
            <w:r>
              <w:rPr>
                <w:rFonts w:hint="eastAsia"/>
                <w:kern w:val="0"/>
                <w:szCs w:val="21"/>
              </w:rPr>
              <w:t>标签</w:t>
            </w:r>
          </w:p>
        </w:tc>
        <w:tc>
          <w:tcPr>
            <w:tcW w:w="2993" w:type="pct"/>
            <w:tcMar>
              <w:left w:w="45" w:type="dxa"/>
              <w:right w:w="45" w:type="dxa"/>
            </w:tcMar>
            <w:vAlign w:val="center"/>
          </w:tcPr>
          <w:p>
            <w:pPr>
              <w:widowControl/>
              <w:jc w:val="left"/>
              <w:rPr>
                <w:rFonts w:hint="eastAsia"/>
                <w:color w:val="000000"/>
                <w:szCs w:val="21"/>
              </w:rPr>
            </w:pPr>
            <w:r>
              <w:rPr>
                <w:rFonts w:hint="eastAsia"/>
                <w:color w:val="000000"/>
                <w:szCs w:val="21"/>
              </w:rPr>
              <w:t>1.化学品包装物上应有符合规定的化学品标签；</w:t>
            </w:r>
            <w:r>
              <w:rPr>
                <w:rFonts w:hint="eastAsia"/>
                <w:color w:val="000000"/>
                <w:szCs w:val="21"/>
              </w:rPr>
              <w:br w:type="textWrapping"/>
            </w:r>
            <w:r>
              <w:rPr>
                <w:rFonts w:hint="eastAsia"/>
                <w:color w:val="000000"/>
                <w:szCs w:val="21"/>
              </w:rPr>
              <w:t>2.当化学品由原包装物转移或分装到其他包装物内时，转移或分装后的包装物应及时重新粘贴标识；</w:t>
            </w:r>
            <w:r>
              <w:rPr>
                <w:rFonts w:hint="eastAsia"/>
                <w:color w:val="000000"/>
                <w:szCs w:val="21"/>
              </w:rPr>
              <w:br w:type="textWrapping"/>
            </w:r>
            <w:r>
              <w:rPr>
                <w:rFonts w:hint="eastAsia"/>
                <w:color w:val="000000"/>
                <w:szCs w:val="21"/>
              </w:rPr>
              <w:t>3.化学品标签脱落、模糊、腐蚀后应及时补上，如不能确认，则以废弃化学品处置；</w:t>
            </w:r>
          </w:p>
          <w:p>
            <w:pPr>
              <w:widowControl/>
              <w:jc w:val="left"/>
              <w:rPr>
                <w:color w:val="000000"/>
                <w:kern w:val="0"/>
                <w:szCs w:val="21"/>
              </w:rPr>
            </w:pPr>
            <w:r>
              <w:rPr>
                <w:rFonts w:hint="eastAsia"/>
                <w:color w:val="000000"/>
                <w:szCs w:val="21"/>
                <w:lang w:val="en-US" w:eastAsia="zh-CN"/>
              </w:rPr>
              <w:t>4</w:t>
            </w:r>
            <w:r>
              <w:rPr>
                <w:rFonts w:hint="eastAsia"/>
                <w:color w:val="000000"/>
                <w:szCs w:val="21"/>
              </w:rPr>
              <w:t>.</w:t>
            </w:r>
            <w:r>
              <w:rPr>
                <w:rFonts w:ascii="Times New Roman" w:hAnsi="Times New Roman" w:cs="Times New Roman"/>
                <w:color w:val="000000"/>
                <w:sz w:val="14"/>
                <w:szCs w:val="14"/>
              </w:rPr>
              <w:t> </w:t>
            </w:r>
            <w:r>
              <w:rPr>
                <w:rFonts w:hint="eastAsia"/>
                <w:color w:val="000000"/>
                <w:szCs w:val="21"/>
              </w:rPr>
              <w:t>装有配制试剂、合成品、样品等的容器上</w:t>
            </w:r>
            <w:r>
              <w:rPr>
                <w:rFonts w:hint="eastAsia"/>
                <w:kern w:val="0"/>
                <w:szCs w:val="21"/>
              </w:rPr>
              <w:t>张贴</w:t>
            </w:r>
            <w:r>
              <w:rPr>
                <w:rFonts w:hint="eastAsia"/>
                <w:b/>
                <w:bCs w:val="0"/>
                <w:kern w:val="0"/>
                <w:szCs w:val="21"/>
                <w:u w:val="single"/>
              </w:rPr>
              <w:t>四要素标签</w:t>
            </w:r>
            <w:r>
              <w:rPr>
                <w:rFonts w:hint="eastAsia"/>
                <w:color w:val="000000"/>
                <w:szCs w:val="21"/>
              </w:rPr>
              <w:t>；</w:t>
            </w:r>
          </w:p>
          <w:p>
            <w:pPr>
              <w:widowControl/>
              <w:jc w:val="left"/>
              <w:rPr>
                <w:rFonts w:hint="eastAsia" w:eastAsiaTheme="minorEastAsia"/>
                <w:kern w:val="0"/>
                <w:szCs w:val="21"/>
                <w:lang w:eastAsia="zh-CN"/>
              </w:rPr>
            </w:pPr>
            <w:r>
              <w:rPr>
                <w:rFonts w:hint="eastAsia" w:ascii="Calibri" w:hAnsi="Calibri" w:eastAsia="等线" w:cs="Calibri"/>
                <w:color w:val="000000"/>
                <w:szCs w:val="21"/>
                <w:lang w:val="en-US" w:eastAsia="zh-CN"/>
              </w:rPr>
              <w:t>5</w:t>
            </w:r>
            <w:r>
              <w:rPr>
                <w:rFonts w:ascii="Calibri" w:hAnsi="Calibri" w:eastAsia="等线" w:cs="Calibri"/>
                <w:color w:val="000000"/>
                <w:szCs w:val="21"/>
              </w:rPr>
              <w:t>.</w:t>
            </w:r>
            <w:r>
              <w:rPr>
                <w:rFonts w:ascii="Times New Roman" w:hAnsi="Times New Roman" w:eastAsia="等线" w:cs="Times New Roman"/>
                <w:color w:val="000000"/>
                <w:sz w:val="14"/>
                <w:szCs w:val="14"/>
              </w:rPr>
              <w:t>  </w:t>
            </w:r>
            <w:r>
              <w:rPr>
                <w:rFonts w:hint="eastAsia" w:cs="Calibri"/>
                <w:color w:val="000000"/>
                <w:szCs w:val="21"/>
              </w:rPr>
              <w:t>使用记号笔在烧杯，容量瓶，锥形瓶等玻璃器皿上直接写字</w:t>
            </w:r>
            <w:r>
              <w:rPr>
                <w:rFonts w:hint="eastAsia" w:cs="Calibri"/>
                <w:color w:val="000000"/>
                <w:szCs w:val="21"/>
                <w:lang w:eastAsia="zh-CN"/>
              </w:rPr>
              <w:t>。</w:t>
            </w:r>
          </w:p>
        </w:tc>
        <w:tc>
          <w:tcPr>
            <w:tcW w:w="359" w:type="pct"/>
            <w:tcMar>
              <w:left w:w="45" w:type="dxa"/>
              <w:right w:w="45" w:type="dxa"/>
            </w:tcMar>
            <w:vAlign w:val="center"/>
          </w:tcPr>
          <w:p>
            <w:pPr>
              <w:widowControl/>
              <w:jc w:val="center"/>
              <w:rPr>
                <w:bCs/>
                <w:kern w:val="0"/>
                <w:szCs w:val="21"/>
              </w:rPr>
            </w:pPr>
            <w:r>
              <w:rPr>
                <w:rFonts w:hint="eastAsia"/>
                <w:szCs w:val="21"/>
                <w:lang w:val="en-US" w:eastAsia="zh-CN"/>
              </w:rPr>
              <w:t>1</w:t>
            </w:r>
            <w:r>
              <w:rPr>
                <w:rFonts w:hint="eastAsia"/>
                <w:szCs w:val="21"/>
              </w:rPr>
              <w:t>分</w:t>
            </w:r>
          </w:p>
        </w:tc>
      </w:tr>
    </w:tbl>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spacing w:line="560" w:lineRule="exact"/>
        <w:rPr>
          <w:rFonts w:hint="eastAsia" w:ascii="仿宋_GB2312" w:eastAsia="仿宋_GB2312"/>
          <w:b/>
          <w:sz w:val="32"/>
          <w:szCs w:val="32"/>
          <w:u w:val="single"/>
        </w:rPr>
      </w:pPr>
    </w:p>
    <w:p>
      <w:pPr>
        <w:rPr>
          <w:rFonts w:ascii="仿宋_GB2312" w:hAnsi="Times New Roman" w:eastAsia="仿宋_GB2312"/>
          <w:color w:val="FF0000"/>
          <w:sz w:val="28"/>
          <w:szCs w:val="28"/>
        </w:rPr>
        <w:sectPr>
          <w:pgSz w:w="16838" w:h="11906" w:orient="landscape"/>
          <w:pgMar w:top="1588" w:right="2098" w:bottom="1588" w:left="1985" w:header="851" w:footer="992" w:gutter="0"/>
          <w:pgNumType w:fmt="numberInDash"/>
          <w:cols w:space="425" w:num="1"/>
          <w:titlePg/>
          <w:docGrid w:type="lines" w:linePitch="312" w:charSpace="0"/>
        </w:sectPr>
      </w:pPr>
    </w:p>
    <w:p>
      <w:pPr>
        <w:spacing w:line="560" w:lineRule="exact"/>
        <w:ind w:firstLine="570"/>
        <w:jc w:val="right"/>
        <w:rPr>
          <w:rFonts w:ascii="仿宋" w:hAnsi="仿宋" w:eastAsia="仿宋"/>
          <w:sz w:val="32"/>
          <w:szCs w:val="28"/>
        </w:rPr>
      </w:pPr>
    </w:p>
    <w:p>
      <w:pPr>
        <w:spacing w:line="560" w:lineRule="exact"/>
        <w:ind w:firstLine="570"/>
        <w:jc w:val="right"/>
        <w:rPr>
          <w:rFonts w:ascii="仿宋" w:hAnsi="仿宋" w:eastAsia="仿宋"/>
          <w:sz w:val="32"/>
          <w:szCs w:val="28"/>
        </w:rPr>
      </w:pPr>
    </w:p>
    <w:p>
      <w:pPr>
        <w:spacing w:line="560" w:lineRule="exact"/>
        <w:ind w:firstLine="570"/>
        <w:jc w:val="right"/>
        <w:rPr>
          <w:rFonts w:ascii="仿宋" w:hAnsi="仿宋" w:eastAsia="仿宋"/>
          <w:sz w:val="32"/>
          <w:szCs w:val="28"/>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jc w:val="left"/>
        <w:rPr>
          <w:rFonts w:hint="eastAsia" w:ascii="仿宋_GB2312" w:hAnsi="仿宋" w:eastAsia="仿宋_GB2312"/>
          <w:sz w:val="32"/>
          <w:szCs w:val="32"/>
        </w:rPr>
      </w:pPr>
    </w:p>
    <w:p>
      <w:pPr>
        <w:spacing w:line="560" w:lineRule="exact"/>
        <w:rPr>
          <w:rFonts w:hint="eastAsia" w:ascii="仿宋_GB2312" w:eastAsia="仿宋_GB2312"/>
          <w:b/>
          <w:sz w:val="32"/>
          <w:szCs w:val="32"/>
          <w:u w:val="single"/>
        </w:rPr>
      </w:pPr>
      <w:r>
        <w:rPr>
          <w:rFonts w:hint="eastAsia" w:ascii="仿宋_GB2312" w:eastAsia="仿宋_GB2312"/>
          <w:b/>
          <w:sz w:val="32"/>
          <w:szCs w:val="32"/>
          <w:u w:val="single"/>
        </w:rPr>
        <w:t xml:space="preserve">                                                                 </w:t>
      </w:r>
    </w:p>
    <w:p>
      <w:pPr>
        <w:spacing w:line="560" w:lineRule="exact"/>
        <w:rPr>
          <w:rFonts w:ascii="仿宋_GB2312" w:hAnsi="Times New Roman" w:eastAsia="仿宋_GB2312"/>
          <w:color w:val="FF0000"/>
          <w:sz w:val="28"/>
          <w:szCs w:val="28"/>
        </w:rPr>
      </w:pPr>
      <w:r>
        <w:rPr>
          <w:rFonts w:hint="eastAsia" w:ascii="仿宋_GB2312" w:eastAsia="仿宋_GB2312"/>
          <w:spacing w:val="-20"/>
          <w:sz w:val="32"/>
          <w:szCs w:val="32"/>
          <w:u w:val="single"/>
        </w:rPr>
        <w:t>国家煤加工与洁净化工程技术研究中心</w:t>
      </w:r>
      <w:r>
        <w:rPr>
          <w:rFonts w:hint="eastAsia" w:ascii="仿宋_GB2312" w:eastAsia="仿宋_GB2312"/>
          <w:spacing w:val="-20"/>
          <w:sz w:val="32"/>
          <w:szCs w:val="32"/>
          <w:u w:val="single"/>
          <w:lang w:val="en-US" w:eastAsia="zh-CN"/>
        </w:rPr>
        <w:t xml:space="preserve">  </w:t>
      </w:r>
      <w:r>
        <w:rPr>
          <w:rFonts w:hint="eastAsia" w:ascii="仿宋_GB2312" w:eastAsia="仿宋_GB2312"/>
          <w:spacing w:val="-20"/>
          <w:sz w:val="32"/>
          <w:szCs w:val="32"/>
          <w:u w:val="single"/>
        </w:rPr>
        <w:t xml:space="preserve"> 20</w:t>
      </w:r>
      <w:r>
        <w:rPr>
          <w:rFonts w:hint="eastAsia" w:ascii="仿宋_GB2312" w:eastAsia="仿宋_GB2312"/>
          <w:spacing w:val="-20"/>
          <w:sz w:val="32"/>
          <w:szCs w:val="32"/>
          <w:u w:val="single"/>
          <w:lang w:val="en-US" w:eastAsia="zh-CN"/>
        </w:rPr>
        <w:t>22</w:t>
      </w:r>
      <w:r>
        <w:rPr>
          <w:rFonts w:hint="eastAsia" w:ascii="仿宋_GB2312" w:eastAsia="仿宋_GB2312"/>
          <w:spacing w:val="-20"/>
          <w:sz w:val="32"/>
          <w:szCs w:val="32"/>
          <w:u w:val="single"/>
        </w:rPr>
        <w:t>年</w:t>
      </w:r>
      <w:r>
        <w:rPr>
          <w:rFonts w:hint="eastAsia" w:ascii="仿宋_GB2312" w:eastAsia="仿宋_GB2312"/>
          <w:spacing w:val="-20"/>
          <w:sz w:val="32"/>
          <w:szCs w:val="32"/>
          <w:u w:val="single"/>
          <w:lang w:val="en-US" w:eastAsia="zh-CN"/>
        </w:rPr>
        <w:t>4</w:t>
      </w:r>
      <w:r>
        <w:rPr>
          <w:rFonts w:hint="eastAsia" w:ascii="仿宋_GB2312" w:eastAsia="仿宋_GB2312"/>
          <w:spacing w:val="-20"/>
          <w:sz w:val="32"/>
          <w:szCs w:val="32"/>
          <w:u w:val="single"/>
        </w:rPr>
        <w:t>月</w:t>
      </w:r>
      <w:r>
        <w:rPr>
          <w:rFonts w:hint="eastAsia" w:ascii="仿宋_GB2312" w:eastAsia="仿宋_GB2312"/>
          <w:spacing w:val="-20"/>
          <w:sz w:val="32"/>
          <w:szCs w:val="32"/>
          <w:u w:val="single"/>
          <w:lang w:val="en-US" w:eastAsia="zh-CN"/>
        </w:rPr>
        <w:t>1</w:t>
      </w:r>
      <w:r>
        <w:rPr>
          <w:rFonts w:hint="eastAsia" w:ascii="仿宋_GB2312" w:eastAsia="仿宋_GB2312"/>
          <w:spacing w:val="-20"/>
          <w:sz w:val="32"/>
          <w:szCs w:val="32"/>
          <w:u w:val="single"/>
        </w:rPr>
        <w:t>日</w:t>
      </w:r>
      <w:r>
        <w:rPr>
          <w:rFonts w:hint="eastAsia" w:ascii="仿宋_GB2312" w:eastAsia="仿宋_GB2312"/>
          <w:spacing w:val="-20"/>
          <w:sz w:val="32"/>
          <w:szCs w:val="32"/>
          <w:u w:val="single"/>
          <w:lang w:val="en-US" w:eastAsia="zh-CN"/>
        </w:rPr>
        <w:t>印发</w:t>
      </w:r>
      <w:r>
        <w:rPr>
          <w:rFonts w:hint="eastAsia" w:ascii="仿宋_GB2312" w:eastAsia="仿宋_GB2312"/>
          <w:spacing w:val="-20"/>
          <w:sz w:val="32"/>
          <w:szCs w:val="32"/>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228600</wp:posOffset>
                </wp:positionV>
                <wp:extent cx="6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8pt;height:0.05pt;width:0.05pt;z-index:251660288;mso-width-relative:page;mso-height-relative:page;" filled="f" stroked="t" coordsize="21600,21600" o:allowincell="f" o:gfxdata="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opPE0wAAAAcBAAAPAAAAAAAAAAEAIAAAACIAAABkcnMvZG93bnJldi54bWxQSwECFAAUAAAACACH&#10;TuJAkQbR5/ABAADiAwAADgAAAAAAAAABACAAAAAiAQAAZHJzL2Uyb0RvYy54bWxQSwUGAAAAAAYA&#10;BgBZAQAAhAUAAAAA&#10;">
                <v:fill on="f" focussize="0,0"/>
                <v:stroke color="#000000" joinstyle="round"/>
                <v:imagedata o:title=""/>
                <o:lock v:ext="edit" aspectratio="f"/>
              </v:line>
            </w:pict>
          </mc:Fallback>
        </mc:AlternateContent>
      </w:r>
      <w:r>
        <w:rPr>
          <w:rFonts w:hint="eastAsia" w:ascii="仿宋_GB2312" w:eastAsia="仿宋_GB2312"/>
          <w:spacing w:val="-20"/>
          <w:sz w:val="32"/>
          <w:szCs w:val="32"/>
          <w:u w:val="single"/>
          <w:lang w:val="en-US" w:eastAsia="zh-CN"/>
        </w:rPr>
        <w:t xml:space="preserve">          </w:t>
      </w:r>
    </w:p>
    <w:sectPr>
      <w:footerReference r:id="rId5" w:type="default"/>
      <w:footerReference r:id="rId6" w:type="even"/>
      <w:pgSz w:w="11906" w:h="16838"/>
      <w:pgMar w:top="1587" w:right="1588" w:bottom="1587" w:left="1588"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467565"/>
    </w:sdtPr>
    <w:sdtContent>
      <w:p>
        <w:pPr>
          <w:pStyle w:val="4"/>
          <w:jc w:val="right"/>
        </w:pPr>
        <w:r>
          <w:fldChar w:fldCharType="begin"/>
        </w:r>
        <w:r>
          <w:instrText xml:space="preserve">PAGE   \* MERGEFORMAT</w:instrText>
        </w:r>
        <w:r>
          <w:fldChar w:fldCharType="separate"/>
        </w:r>
        <w:r>
          <w:rPr>
            <w:lang w:val="zh-CN"/>
          </w:rPr>
          <w:t>-</w:t>
        </w:r>
        <w:r>
          <w:t xml:space="preserve"> 19 -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813541"/>
    </w:sdtPr>
    <w:sdtContent>
      <w:p>
        <w:pPr>
          <w:pStyle w:val="4"/>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18 -</w:t>
        </w:r>
        <w:r>
          <w:rPr>
            <w:rFonts w:ascii="Times New Roman" w:hAnsi="Times New Roman" w:cs="Times New Roman"/>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rPr>
        <w:rStyle w:val="11"/>
      </w:rPr>
      <w:t>- 2 -</w:t>
    </w:r>
    <w: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4N2VhOWZiOGE1N2FmMjVjOTMyMDgxOTZmNWUzYjAifQ=="/>
  </w:docVars>
  <w:rsids>
    <w:rsidRoot w:val="002D41DF"/>
    <w:rsid w:val="00003B2D"/>
    <w:rsid w:val="0003049B"/>
    <w:rsid w:val="00040922"/>
    <w:rsid w:val="00050569"/>
    <w:rsid w:val="000514F8"/>
    <w:rsid w:val="00052037"/>
    <w:rsid w:val="00085F69"/>
    <w:rsid w:val="0009661F"/>
    <w:rsid w:val="0009666F"/>
    <w:rsid w:val="000A541D"/>
    <w:rsid w:val="000A77FF"/>
    <w:rsid w:val="000D6A49"/>
    <w:rsid w:val="000E2EE9"/>
    <w:rsid w:val="000F08E6"/>
    <w:rsid w:val="00122AD2"/>
    <w:rsid w:val="0014636A"/>
    <w:rsid w:val="00164182"/>
    <w:rsid w:val="001913A3"/>
    <w:rsid w:val="001936F4"/>
    <w:rsid w:val="001D5473"/>
    <w:rsid w:val="001E1574"/>
    <w:rsid w:val="001E5128"/>
    <w:rsid w:val="001E5F5C"/>
    <w:rsid w:val="001F53CD"/>
    <w:rsid w:val="001F5A83"/>
    <w:rsid w:val="00203F20"/>
    <w:rsid w:val="00221926"/>
    <w:rsid w:val="00221A83"/>
    <w:rsid w:val="00261E39"/>
    <w:rsid w:val="00266743"/>
    <w:rsid w:val="00280511"/>
    <w:rsid w:val="00293C70"/>
    <w:rsid w:val="002A777C"/>
    <w:rsid w:val="002C1493"/>
    <w:rsid w:val="002C7807"/>
    <w:rsid w:val="002D1AB9"/>
    <w:rsid w:val="002D41DF"/>
    <w:rsid w:val="002E3763"/>
    <w:rsid w:val="002E60E0"/>
    <w:rsid w:val="00311FEB"/>
    <w:rsid w:val="00347B57"/>
    <w:rsid w:val="003B6925"/>
    <w:rsid w:val="003D05FE"/>
    <w:rsid w:val="00436C4F"/>
    <w:rsid w:val="00453DA7"/>
    <w:rsid w:val="00460892"/>
    <w:rsid w:val="004654B1"/>
    <w:rsid w:val="00476070"/>
    <w:rsid w:val="004915BD"/>
    <w:rsid w:val="004B2181"/>
    <w:rsid w:val="004C0328"/>
    <w:rsid w:val="004C03A3"/>
    <w:rsid w:val="004D0E4D"/>
    <w:rsid w:val="004D4625"/>
    <w:rsid w:val="004E327D"/>
    <w:rsid w:val="00512701"/>
    <w:rsid w:val="00513802"/>
    <w:rsid w:val="00526775"/>
    <w:rsid w:val="005328F4"/>
    <w:rsid w:val="0055416D"/>
    <w:rsid w:val="00556A0E"/>
    <w:rsid w:val="005673B3"/>
    <w:rsid w:val="005858AB"/>
    <w:rsid w:val="00596C17"/>
    <w:rsid w:val="005A0A12"/>
    <w:rsid w:val="005D0FAA"/>
    <w:rsid w:val="005D2621"/>
    <w:rsid w:val="005D6278"/>
    <w:rsid w:val="005D7E2A"/>
    <w:rsid w:val="005E7946"/>
    <w:rsid w:val="005F2B00"/>
    <w:rsid w:val="006147E6"/>
    <w:rsid w:val="006222F2"/>
    <w:rsid w:val="006307E2"/>
    <w:rsid w:val="00656425"/>
    <w:rsid w:val="006779B4"/>
    <w:rsid w:val="0069167C"/>
    <w:rsid w:val="006A5684"/>
    <w:rsid w:val="006B5555"/>
    <w:rsid w:val="006B572F"/>
    <w:rsid w:val="006D3E6E"/>
    <w:rsid w:val="006F3C65"/>
    <w:rsid w:val="0071196B"/>
    <w:rsid w:val="00724D93"/>
    <w:rsid w:val="00741FF3"/>
    <w:rsid w:val="00750D10"/>
    <w:rsid w:val="0076362B"/>
    <w:rsid w:val="007638A3"/>
    <w:rsid w:val="007654B6"/>
    <w:rsid w:val="007758D7"/>
    <w:rsid w:val="00793C1C"/>
    <w:rsid w:val="007A62A4"/>
    <w:rsid w:val="007B62D2"/>
    <w:rsid w:val="007B6573"/>
    <w:rsid w:val="007B71EB"/>
    <w:rsid w:val="007C78CB"/>
    <w:rsid w:val="007D057C"/>
    <w:rsid w:val="007E3E2C"/>
    <w:rsid w:val="007F4633"/>
    <w:rsid w:val="00803F26"/>
    <w:rsid w:val="008533C4"/>
    <w:rsid w:val="00870039"/>
    <w:rsid w:val="00871B38"/>
    <w:rsid w:val="008A246F"/>
    <w:rsid w:val="008A3393"/>
    <w:rsid w:val="008D16A8"/>
    <w:rsid w:val="008D61D2"/>
    <w:rsid w:val="008E0E5C"/>
    <w:rsid w:val="008F012D"/>
    <w:rsid w:val="008F0968"/>
    <w:rsid w:val="008F0C43"/>
    <w:rsid w:val="008F5301"/>
    <w:rsid w:val="008F558E"/>
    <w:rsid w:val="00905B12"/>
    <w:rsid w:val="009545D3"/>
    <w:rsid w:val="00963B6E"/>
    <w:rsid w:val="009857B0"/>
    <w:rsid w:val="0098612A"/>
    <w:rsid w:val="009A4522"/>
    <w:rsid w:val="009E6250"/>
    <w:rsid w:val="00A15B7F"/>
    <w:rsid w:val="00A20500"/>
    <w:rsid w:val="00A21C98"/>
    <w:rsid w:val="00A25237"/>
    <w:rsid w:val="00A30385"/>
    <w:rsid w:val="00A352AB"/>
    <w:rsid w:val="00A62F20"/>
    <w:rsid w:val="00A72DD3"/>
    <w:rsid w:val="00A8115F"/>
    <w:rsid w:val="00AA0401"/>
    <w:rsid w:val="00AA70A4"/>
    <w:rsid w:val="00AB3B20"/>
    <w:rsid w:val="00AD07A5"/>
    <w:rsid w:val="00AF2C84"/>
    <w:rsid w:val="00B06D60"/>
    <w:rsid w:val="00B13D97"/>
    <w:rsid w:val="00B37C06"/>
    <w:rsid w:val="00B73924"/>
    <w:rsid w:val="00B833CD"/>
    <w:rsid w:val="00B90698"/>
    <w:rsid w:val="00BB24F5"/>
    <w:rsid w:val="00BD2DDA"/>
    <w:rsid w:val="00BD51C7"/>
    <w:rsid w:val="00BE385B"/>
    <w:rsid w:val="00BE5816"/>
    <w:rsid w:val="00C10F16"/>
    <w:rsid w:val="00C213AA"/>
    <w:rsid w:val="00C31894"/>
    <w:rsid w:val="00C33CD5"/>
    <w:rsid w:val="00C3489E"/>
    <w:rsid w:val="00C42FA6"/>
    <w:rsid w:val="00C463E3"/>
    <w:rsid w:val="00C55A64"/>
    <w:rsid w:val="00C71ACA"/>
    <w:rsid w:val="00C724F6"/>
    <w:rsid w:val="00C7487F"/>
    <w:rsid w:val="00C82D27"/>
    <w:rsid w:val="00C961A4"/>
    <w:rsid w:val="00CB2AF8"/>
    <w:rsid w:val="00CB39EE"/>
    <w:rsid w:val="00CC0FAE"/>
    <w:rsid w:val="00CC2362"/>
    <w:rsid w:val="00CD1423"/>
    <w:rsid w:val="00CD4315"/>
    <w:rsid w:val="00D165D7"/>
    <w:rsid w:val="00D24A5B"/>
    <w:rsid w:val="00D6224A"/>
    <w:rsid w:val="00D70A7B"/>
    <w:rsid w:val="00D859B3"/>
    <w:rsid w:val="00DA56E8"/>
    <w:rsid w:val="00DE24C5"/>
    <w:rsid w:val="00DF13A5"/>
    <w:rsid w:val="00DF44CB"/>
    <w:rsid w:val="00E03DBB"/>
    <w:rsid w:val="00E22002"/>
    <w:rsid w:val="00E575FF"/>
    <w:rsid w:val="00E8218E"/>
    <w:rsid w:val="00E8398E"/>
    <w:rsid w:val="00E87BBC"/>
    <w:rsid w:val="00EA10B6"/>
    <w:rsid w:val="00EB5E98"/>
    <w:rsid w:val="00EB64C7"/>
    <w:rsid w:val="00EB7037"/>
    <w:rsid w:val="00EE5938"/>
    <w:rsid w:val="00F01FA8"/>
    <w:rsid w:val="00F332EF"/>
    <w:rsid w:val="00F47882"/>
    <w:rsid w:val="00F66BEF"/>
    <w:rsid w:val="00F85F7C"/>
    <w:rsid w:val="00FA0CE5"/>
    <w:rsid w:val="00FC011F"/>
    <w:rsid w:val="00FC0CEC"/>
    <w:rsid w:val="00FC5334"/>
    <w:rsid w:val="00FC678C"/>
    <w:rsid w:val="00FE706D"/>
    <w:rsid w:val="06870F5C"/>
    <w:rsid w:val="0CDF330D"/>
    <w:rsid w:val="10E725E4"/>
    <w:rsid w:val="151709A3"/>
    <w:rsid w:val="15E67F5E"/>
    <w:rsid w:val="16533DE4"/>
    <w:rsid w:val="1FA150B1"/>
    <w:rsid w:val="210367C7"/>
    <w:rsid w:val="217A045E"/>
    <w:rsid w:val="21812E47"/>
    <w:rsid w:val="26D53BDB"/>
    <w:rsid w:val="2A8F661A"/>
    <w:rsid w:val="2B5314AC"/>
    <w:rsid w:val="2C21022D"/>
    <w:rsid w:val="2CBF2E17"/>
    <w:rsid w:val="2D9552D1"/>
    <w:rsid w:val="2FA224F2"/>
    <w:rsid w:val="31710BA8"/>
    <w:rsid w:val="39A757E7"/>
    <w:rsid w:val="3FC824D1"/>
    <w:rsid w:val="4B9A6AEE"/>
    <w:rsid w:val="650B43CC"/>
    <w:rsid w:val="69B851CD"/>
    <w:rsid w:val="6DC145FE"/>
    <w:rsid w:val="71C50B09"/>
    <w:rsid w:val="77714BC5"/>
    <w:rsid w:val="7B1F2D95"/>
    <w:rsid w:val="7B6F4246"/>
    <w:rsid w:val="7FBF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spacing w:line="460" w:lineRule="exact"/>
      <w:jc w:val="left"/>
    </w:pPr>
    <w:rPr>
      <w:rFonts w:ascii="Calibri" w:hAnsi="Calibri"/>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semiHidden/>
    <w:qFormat/>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3960</Words>
  <Characters>4127</Characters>
  <Lines>43</Lines>
  <Paragraphs>12</Paragraphs>
  <TotalTime>57</TotalTime>
  <ScaleCrop>false</ScaleCrop>
  <LinksUpToDate>false</LinksUpToDate>
  <CharactersWithSpaces>4252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2021-11-05T01:21:00Z</dcterms:created>
  <dc:creator>sunshine</dc:creator>
  <cp:lastModifiedBy>吕向前</cp:lastModifiedBy>
  <cp:lastPrinted>2022-04-26T08:56:00Z</cp:lastPrinted>
  <dcterms:modified xsi:type="dcterms:W3CDTF">2022-05-18T02:03:25Z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19DD22F55AE04D5882618237E36300AF</vt:lpwstr>
  </property>
</Properties>
</file>